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93" w:rsidRDefault="006D570E" w:rsidP="006D570E">
      <w:pPr>
        <w:jc w:val="both"/>
        <w:rPr>
          <w:rStyle w:val="tlid-translation"/>
          <w:lang w:val="en"/>
        </w:rPr>
      </w:pPr>
      <w:proofErr w:type="spellStart"/>
      <w:r w:rsidRPr="006D570E">
        <w:rPr>
          <w:rStyle w:val="tlid-translation"/>
          <w:i/>
          <w:lang w:val="en"/>
        </w:rPr>
        <w:t>Clostridioides</w:t>
      </w:r>
      <w:proofErr w:type="spellEnd"/>
      <w:r w:rsidRPr="006D570E">
        <w:rPr>
          <w:rStyle w:val="tlid-translation"/>
          <w:i/>
          <w:lang w:val="en"/>
        </w:rPr>
        <w:t xml:space="preserve"> difficile</w:t>
      </w:r>
      <w:r>
        <w:rPr>
          <w:rStyle w:val="tlid-translation"/>
          <w:lang w:val="en"/>
        </w:rPr>
        <w:t xml:space="preserve"> (CD) belongs to the group of opportunistic anaerobic bacteria that cause diseases of the digestive system of humans and animals. CD are gram-positive rods that produce toxins that are harmful to health (</w:t>
      </w:r>
      <w:proofErr w:type="spellStart"/>
      <w:r>
        <w:rPr>
          <w:rStyle w:val="tlid-translation"/>
          <w:lang w:val="en"/>
        </w:rPr>
        <w:t>TcdA</w:t>
      </w:r>
      <w:proofErr w:type="spellEnd"/>
      <w:r>
        <w:rPr>
          <w:rStyle w:val="tlid-translation"/>
          <w:lang w:val="en"/>
        </w:rPr>
        <w:t xml:space="preserve"> and </w:t>
      </w:r>
      <w:proofErr w:type="spellStart"/>
      <w:r>
        <w:rPr>
          <w:rStyle w:val="tlid-translation"/>
          <w:lang w:val="en"/>
        </w:rPr>
        <w:t>TcdB</w:t>
      </w:r>
      <w:proofErr w:type="spellEnd"/>
      <w:r>
        <w:rPr>
          <w:rStyle w:val="tlid-translation"/>
          <w:lang w:val="en"/>
        </w:rPr>
        <w:t>) and spores resistant to high temperatures, and commonly used cleaning agents [1]. CD is not an invasive bacterium, but after a long-term antibiotic therapy resulting in the inhibition of the development of normal bacterial flora in the patient, it causes post-antibiotic diarrhea, which affects up to 10% of hospitalized people. The most common complications after CD infection include pseudomembranous colitis (in 25% of patients) and a very severe form of infection occurs in 3% of patients and in 11% of patients who became infected with the hypervirulent strain [2]. Multiple intestinal perforation, peritonitis with second</w:t>
      </w:r>
      <w:r w:rsidR="00846E93">
        <w:rPr>
          <w:rStyle w:val="tlid-translation"/>
          <w:lang w:val="en"/>
        </w:rPr>
        <w:t>ary sepsis and death may occur.</w:t>
      </w:r>
    </w:p>
    <w:p w:rsidR="00D02539" w:rsidRDefault="006D570E" w:rsidP="006D570E">
      <w:pPr>
        <w:jc w:val="both"/>
        <w:rPr>
          <w:rStyle w:val="tlid-translation"/>
          <w:lang w:val="en"/>
        </w:rPr>
      </w:pPr>
      <w:r>
        <w:rPr>
          <w:rStyle w:val="tlid-translation"/>
          <w:lang w:val="en"/>
        </w:rPr>
        <w:t>Over the last ten years, highly developed countries have seen a marked increase in the incidence and severity of infections. Moreover, disease relapse after the first treatment occurs in about 20% of patients, and in about 40% after the second treatment [3]. Data collected by the European Center for Disease Prevention and Control (ECDC) from 556 hospitals in 20 European countries showed 7,711 cases of CD infections in 2016. However, the authors of the report point out that this number is significantly underestimated due to the low number of tests performed and the lack of a top-down requirement to</w:t>
      </w:r>
      <w:r w:rsidR="00846E93">
        <w:rPr>
          <w:rStyle w:val="tlid-translation"/>
          <w:lang w:val="en"/>
        </w:rPr>
        <w:t xml:space="preserve"> report such cases [4]. Also</w:t>
      </w:r>
      <w:r>
        <w:rPr>
          <w:rStyle w:val="tlid-translation"/>
          <w:lang w:val="en"/>
        </w:rPr>
        <w:t>, tests are carried out mainly in highly specialized hospitals, and infections occur most often in internal departments, geriatric wards and nursing homes. Older data show over 120,000 cases of CD infection in 2011 in Europe, of which 3 to 30% resulted in patient death. It is estimated that the cost of treating a single patient amounts to approximately EUR 9,000 and is strictly dependent on the additional time the patient has to spend in the hospital [5].</w:t>
      </w:r>
      <w:r w:rsidR="00846E93">
        <w:rPr>
          <w:lang w:val="en"/>
        </w:rPr>
        <w:t xml:space="preserve"> </w:t>
      </w:r>
      <w:r>
        <w:rPr>
          <w:rStyle w:val="tlid-translation"/>
          <w:lang w:val="en"/>
        </w:rPr>
        <w:t xml:space="preserve">It is worth mentioning that CD bacteria are resistant to many commonly used antibiotics (cephalosporins, fluoroquinolones, carbapenems, clindamycin, monobactams, less to </w:t>
      </w:r>
      <w:proofErr w:type="spellStart"/>
      <w:r>
        <w:rPr>
          <w:rStyle w:val="tlid-translation"/>
          <w:lang w:val="en"/>
        </w:rPr>
        <w:t>macrolytes</w:t>
      </w:r>
      <w:proofErr w:type="spellEnd"/>
      <w:r>
        <w:rPr>
          <w:rStyle w:val="tlid-translation"/>
          <w:lang w:val="en"/>
        </w:rPr>
        <w:t xml:space="preserve">, </w:t>
      </w:r>
      <w:proofErr w:type="spellStart"/>
      <w:r>
        <w:rPr>
          <w:rStyle w:val="tlid-translation"/>
          <w:lang w:val="en"/>
        </w:rPr>
        <w:t>penicillins</w:t>
      </w:r>
      <w:proofErr w:type="spellEnd"/>
      <w:r>
        <w:rPr>
          <w:rStyle w:val="tlid-translation"/>
          <w:lang w:val="en"/>
        </w:rPr>
        <w:t>, sulfonamides and trimethoprim), as well as to antibiotics used to co</w:t>
      </w:r>
      <w:r w:rsidR="004C72FB">
        <w:rPr>
          <w:rStyle w:val="tlid-translation"/>
          <w:lang w:val="en"/>
        </w:rPr>
        <w:t xml:space="preserve">mbat them [6,7]. There are </w:t>
      </w:r>
      <w:r>
        <w:rPr>
          <w:rStyle w:val="tlid-translation"/>
          <w:lang w:val="en"/>
        </w:rPr>
        <w:t xml:space="preserve">no therapies or supplements that would assist and speed up recovery. The prevention of infections comes down to frequent hand washing and the use of disposable gloves, which does not seem to be entirely effective. </w:t>
      </w:r>
      <w:r w:rsidRPr="004C72FB">
        <w:rPr>
          <w:rStyle w:val="tlid-translation"/>
          <w:b/>
          <w:lang w:val="en"/>
        </w:rPr>
        <w:t xml:space="preserve">The product we propose works on a completely different principle than antibiotics. It is based on safe, non-toxic </w:t>
      </w:r>
      <w:proofErr w:type="spellStart"/>
      <w:r w:rsidRPr="004C72FB">
        <w:rPr>
          <w:rStyle w:val="tlid-translation"/>
          <w:b/>
          <w:lang w:val="en"/>
        </w:rPr>
        <w:t>IgY</w:t>
      </w:r>
      <w:proofErr w:type="spellEnd"/>
      <w:r w:rsidRPr="004C72FB">
        <w:rPr>
          <w:rStyle w:val="tlid-translation"/>
          <w:b/>
          <w:lang w:val="en"/>
        </w:rPr>
        <w:t xml:space="preserve"> antibodies isolated from eggs of hens immunized with an epitope-specific conjugate for proteins located on the surface of the CD cell.</w:t>
      </w:r>
      <w:r>
        <w:rPr>
          <w:rStyle w:val="tlid-translation"/>
          <w:lang w:val="en"/>
        </w:rPr>
        <w:t xml:space="preserve"> Vaccination of chickens (widely available, </w:t>
      </w:r>
      <w:r w:rsidR="004C72FB">
        <w:rPr>
          <w:rStyle w:val="tlid-translation"/>
          <w:lang w:val="en"/>
        </w:rPr>
        <w:t xml:space="preserve">with </w:t>
      </w:r>
      <w:r>
        <w:rPr>
          <w:rStyle w:val="tlid-translation"/>
          <w:lang w:val="en"/>
        </w:rPr>
        <w:t>low maintenance cost) with a specific epitope results in the production of specific, protective antibodies at a much higher concentration than the products obtained by vaccination with the whole bacterium.</w:t>
      </w:r>
      <w:r w:rsidR="00846E93" w:rsidRPr="00846E93">
        <w:rPr>
          <w:noProof/>
          <w:lang w:val="en-US" w:eastAsia="pl-PL"/>
        </w:rPr>
        <w:t xml:space="preserve"> </w:t>
      </w:r>
    </w:p>
    <w:p w:rsidR="00846E93" w:rsidRDefault="00846E93" w:rsidP="006D570E">
      <w:pPr>
        <w:jc w:val="both"/>
        <w:rPr>
          <w:lang w:val="en-US"/>
        </w:rPr>
      </w:pPr>
      <w:r w:rsidRPr="004C72FB">
        <w:rPr>
          <w:noProof/>
          <w:lang w:eastAsia="pl-PL"/>
        </w:rPr>
        <w:drawing>
          <wp:anchor distT="0" distB="0" distL="114300" distR="114300" simplePos="0" relativeHeight="251658240" behindDoc="1" locked="0" layoutInCell="1" allowOverlap="1">
            <wp:simplePos x="0" y="0"/>
            <wp:positionH relativeFrom="column">
              <wp:posOffset>527861</wp:posOffset>
            </wp:positionH>
            <wp:positionV relativeFrom="paragraph">
              <wp:posOffset>210266</wp:posOffset>
            </wp:positionV>
            <wp:extent cx="5496560" cy="3350260"/>
            <wp:effectExtent l="0" t="0" r="8890" b="2540"/>
            <wp:wrapTight wrapText="bothSides">
              <wp:wrapPolygon edited="0">
                <wp:start x="0" y="0"/>
                <wp:lineTo x="0" y="21494"/>
                <wp:lineTo x="21560" y="21494"/>
                <wp:lineTo x="21560" y="0"/>
                <wp:lineTo x="0" y="0"/>
              </wp:wrapPolygon>
            </wp:wrapTight>
            <wp:docPr id="1" name="Obraz 1" descr="C:\Users\AGNIES~1\AppData\Local\Temp\preview_292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1\AppData\Local\Temp\preview_292840.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221" r="4543" b="15196"/>
                    <a:stretch/>
                  </pic:blipFill>
                  <pic:spPr bwMode="auto">
                    <a:xfrm>
                      <a:off x="0" y="0"/>
                      <a:ext cx="5496560" cy="3350260"/>
                    </a:xfrm>
                    <a:prstGeom prst="rect">
                      <a:avLst/>
                    </a:prstGeom>
                    <a:noFill/>
                    <a:ln>
                      <a:noFill/>
                    </a:ln>
                    <a:extLst>
                      <a:ext uri="{53640926-AAD7-44D8-BBD7-CCE9431645EC}">
                        <a14:shadowObscured xmlns:a14="http://schemas.microsoft.com/office/drawing/2010/main"/>
                      </a:ext>
                    </a:extLst>
                  </pic:spPr>
                </pic:pic>
              </a:graphicData>
            </a:graphic>
          </wp:anchor>
        </w:drawing>
      </w:r>
    </w:p>
    <w:p w:rsidR="00846E93" w:rsidRPr="00846E93" w:rsidRDefault="00846E93" w:rsidP="00846E93">
      <w:pPr>
        <w:rPr>
          <w:lang w:val="en-US"/>
        </w:rPr>
      </w:pPr>
    </w:p>
    <w:p w:rsidR="00846E93" w:rsidRPr="00846E93" w:rsidRDefault="00846E93" w:rsidP="00846E93">
      <w:pPr>
        <w:rPr>
          <w:lang w:val="en-US"/>
        </w:rPr>
      </w:pPr>
    </w:p>
    <w:p w:rsidR="00846E93" w:rsidRPr="00846E93" w:rsidRDefault="00846E93" w:rsidP="00846E93">
      <w:pPr>
        <w:rPr>
          <w:lang w:val="en-US"/>
        </w:rPr>
      </w:pPr>
    </w:p>
    <w:p w:rsidR="00846E93" w:rsidRPr="00846E93" w:rsidRDefault="00846E93" w:rsidP="00846E93">
      <w:pPr>
        <w:rPr>
          <w:lang w:val="en-US"/>
        </w:rPr>
      </w:pPr>
    </w:p>
    <w:p w:rsidR="00846E93" w:rsidRPr="00846E93" w:rsidRDefault="00846E93" w:rsidP="00846E93">
      <w:pPr>
        <w:rPr>
          <w:lang w:val="en-US"/>
        </w:rPr>
      </w:pPr>
    </w:p>
    <w:p w:rsidR="00846E93" w:rsidRPr="00846E93" w:rsidRDefault="00846E93" w:rsidP="00846E93">
      <w:pPr>
        <w:rPr>
          <w:lang w:val="en-US"/>
        </w:rPr>
      </w:pPr>
    </w:p>
    <w:p w:rsidR="00846E93" w:rsidRPr="00846E93" w:rsidRDefault="00846E93" w:rsidP="00846E93">
      <w:pPr>
        <w:rPr>
          <w:lang w:val="en-US"/>
        </w:rPr>
      </w:pPr>
    </w:p>
    <w:p w:rsidR="00846E93" w:rsidRPr="00846E93" w:rsidRDefault="00846E93" w:rsidP="00846E93">
      <w:pPr>
        <w:rPr>
          <w:lang w:val="en-US"/>
        </w:rPr>
      </w:pPr>
    </w:p>
    <w:p w:rsidR="00846E93" w:rsidRPr="00846E93" w:rsidRDefault="00846E93" w:rsidP="00846E93">
      <w:pPr>
        <w:rPr>
          <w:lang w:val="en-US"/>
        </w:rPr>
      </w:pPr>
    </w:p>
    <w:p w:rsidR="00846E93" w:rsidRPr="00846E93" w:rsidRDefault="00846E93" w:rsidP="00846E93">
      <w:pPr>
        <w:rPr>
          <w:lang w:val="en-US"/>
        </w:rPr>
      </w:pPr>
    </w:p>
    <w:p w:rsidR="00846E93" w:rsidRDefault="00846E93" w:rsidP="00846E93">
      <w:pPr>
        <w:rPr>
          <w:lang w:val="en-US"/>
        </w:rPr>
      </w:pPr>
    </w:p>
    <w:p w:rsidR="004C72FB" w:rsidRDefault="004C72FB" w:rsidP="00846E93">
      <w:pPr>
        <w:rPr>
          <w:lang w:val="en-US"/>
        </w:rPr>
      </w:pPr>
    </w:p>
    <w:p w:rsidR="00846E93" w:rsidRDefault="00846E93" w:rsidP="00846E93">
      <w:pPr>
        <w:rPr>
          <w:lang w:val="en-US"/>
        </w:rPr>
      </w:pPr>
    </w:p>
    <w:p w:rsidR="00846E93" w:rsidRPr="00846E93" w:rsidRDefault="00846E93" w:rsidP="00846E93">
      <w:pPr>
        <w:spacing w:after="0" w:line="240" w:lineRule="auto"/>
        <w:jc w:val="both"/>
        <w:rPr>
          <w:rFonts w:ascii="Calibri" w:eastAsia="Times New Roman" w:hAnsi="Calibri" w:cs="Calibri"/>
          <w:szCs w:val="24"/>
          <w:lang w:val="en-US" w:eastAsia="pl-PL"/>
        </w:rPr>
      </w:pPr>
      <w:r>
        <w:rPr>
          <w:rFonts w:ascii="Calibri" w:eastAsia="Times New Roman" w:hAnsi="Calibri" w:cs="Calibri"/>
          <w:szCs w:val="24"/>
          <w:lang w:val="en-US" w:eastAsia="pl-PL"/>
        </w:rPr>
        <w:lastRenderedPageBreak/>
        <w:t>We based our research</w:t>
      </w:r>
      <w:r w:rsidRPr="00846E93">
        <w:rPr>
          <w:rFonts w:ascii="Calibri" w:eastAsia="Times New Roman" w:hAnsi="Calibri" w:cs="Calibri"/>
          <w:szCs w:val="24"/>
          <w:lang w:val="en" w:eastAsia="pl-PL"/>
        </w:rPr>
        <w:t xml:space="preserve"> on </w:t>
      </w:r>
      <w:proofErr w:type="spellStart"/>
      <w:r w:rsidRPr="00846E93">
        <w:rPr>
          <w:rFonts w:ascii="Calibri" w:eastAsia="Times New Roman" w:hAnsi="Calibri" w:cs="Calibri"/>
          <w:szCs w:val="24"/>
          <w:lang w:val="en" w:eastAsia="pl-PL"/>
        </w:rPr>
        <w:t>immunoreactive</w:t>
      </w:r>
      <w:proofErr w:type="spellEnd"/>
      <w:r w:rsidRPr="00846E93">
        <w:rPr>
          <w:rFonts w:ascii="Calibri" w:eastAsia="Times New Roman" w:hAnsi="Calibri" w:cs="Calibri"/>
          <w:szCs w:val="24"/>
          <w:lang w:val="en" w:eastAsia="pl-PL"/>
        </w:rPr>
        <w:t xml:space="preserve"> proteins located on the </w:t>
      </w:r>
      <w:r>
        <w:rPr>
          <w:rFonts w:ascii="Calibri" w:eastAsia="Times New Roman" w:hAnsi="Calibri" w:cs="Calibri"/>
          <w:szCs w:val="24"/>
          <w:lang w:val="en" w:eastAsia="pl-PL"/>
        </w:rPr>
        <w:t>bacterial cell surface. W</w:t>
      </w:r>
      <w:r w:rsidRPr="00846E93">
        <w:rPr>
          <w:rFonts w:ascii="Calibri" w:eastAsia="Times New Roman" w:hAnsi="Calibri" w:cs="Calibri"/>
          <w:szCs w:val="24"/>
          <w:lang w:val="en" w:eastAsia="pl-PL"/>
        </w:rPr>
        <w:t xml:space="preserve">e identified </w:t>
      </w:r>
      <w:r>
        <w:rPr>
          <w:rFonts w:ascii="Calibri" w:eastAsia="Times New Roman" w:hAnsi="Calibri" w:cs="Calibri"/>
          <w:szCs w:val="24"/>
          <w:lang w:val="en" w:eastAsia="pl-PL"/>
        </w:rPr>
        <w:t xml:space="preserve">new </w:t>
      </w:r>
      <w:proofErr w:type="spellStart"/>
      <w:r>
        <w:rPr>
          <w:rFonts w:ascii="Calibri" w:eastAsia="Times New Roman" w:hAnsi="Calibri" w:cs="Calibri"/>
          <w:szCs w:val="24"/>
          <w:lang w:val="en" w:eastAsia="pl-PL"/>
        </w:rPr>
        <w:t>immunoreactive</w:t>
      </w:r>
      <w:proofErr w:type="spellEnd"/>
      <w:r>
        <w:rPr>
          <w:rFonts w:ascii="Calibri" w:eastAsia="Times New Roman" w:hAnsi="Calibri" w:cs="Calibri"/>
          <w:szCs w:val="24"/>
          <w:lang w:val="en" w:eastAsia="pl-PL"/>
        </w:rPr>
        <w:t xml:space="preserve"> proteins </w:t>
      </w:r>
      <w:r w:rsidRPr="00846E93">
        <w:rPr>
          <w:rFonts w:ascii="Calibri" w:eastAsia="Times New Roman" w:hAnsi="Calibri" w:cs="Calibri"/>
          <w:szCs w:val="24"/>
          <w:lang w:val="en" w:eastAsia="pl-PL"/>
        </w:rPr>
        <w:t xml:space="preserve">with the use of serum from three groups: from people infected with CD, the umbilical cord </w:t>
      </w:r>
      <w:r>
        <w:rPr>
          <w:rFonts w:ascii="Calibri" w:eastAsia="Times New Roman" w:hAnsi="Calibri" w:cs="Calibri"/>
          <w:szCs w:val="24"/>
          <w:lang w:val="en" w:eastAsia="pl-PL"/>
        </w:rPr>
        <w:t xml:space="preserve">blood </w:t>
      </w:r>
      <w:r w:rsidRPr="00846E93">
        <w:rPr>
          <w:rFonts w:ascii="Calibri" w:eastAsia="Times New Roman" w:hAnsi="Calibri" w:cs="Calibri"/>
          <w:szCs w:val="24"/>
          <w:lang w:val="en" w:eastAsia="pl-PL"/>
        </w:rPr>
        <w:t xml:space="preserve">and from healthy volunteers. The use of serum isolated from the umbilical cord is an innovative approach that allowed us to identify epitopes with potentially highly protective </w:t>
      </w:r>
      <w:proofErr w:type="spellStart"/>
      <w:r w:rsidRPr="00846E93">
        <w:rPr>
          <w:rFonts w:ascii="Calibri" w:eastAsia="Times New Roman" w:hAnsi="Calibri" w:cs="Calibri"/>
          <w:szCs w:val="24"/>
          <w:lang w:val="en" w:eastAsia="pl-PL"/>
        </w:rPr>
        <w:t>properties</w:t>
      </w:r>
      <w:proofErr w:type="spellEnd"/>
      <w:r w:rsidRPr="00846E93">
        <w:rPr>
          <w:rFonts w:ascii="Calibri" w:eastAsia="Times New Roman" w:hAnsi="Calibri" w:cs="Calibri"/>
          <w:szCs w:val="24"/>
          <w:lang w:val="en" w:eastAsia="pl-PL"/>
        </w:rPr>
        <w:t xml:space="preserve">. As a result of </w:t>
      </w:r>
      <w:r>
        <w:rPr>
          <w:rFonts w:ascii="Calibri" w:eastAsia="Times New Roman" w:hAnsi="Calibri" w:cs="Calibri"/>
          <w:szCs w:val="24"/>
          <w:lang w:val="en" w:eastAsia="pl-PL"/>
        </w:rPr>
        <w:t xml:space="preserve">our activities, we identified </w:t>
      </w:r>
      <w:r w:rsidRPr="00846E93">
        <w:rPr>
          <w:rFonts w:ascii="Calibri" w:eastAsia="Times New Roman" w:hAnsi="Calibri" w:cs="Calibri"/>
          <w:szCs w:val="24"/>
          <w:lang w:val="en" w:eastAsia="pl-PL"/>
        </w:rPr>
        <w:t xml:space="preserve">epitopes from four different CD proteins located on the surface of the bacteria. Some of our research has been published in recognized </w:t>
      </w:r>
      <w:r>
        <w:rPr>
          <w:rFonts w:ascii="Calibri" w:eastAsia="Times New Roman" w:hAnsi="Calibri" w:cs="Calibri"/>
          <w:szCs w:val="24"/>
          <w:lang w:val="en" w:eastAsia="pl-PL"/>
        </w:rPr>
        <w:t xml:space="preserve">scientific </w:t>
      </w:r>
      <w:r w:rsidRPr="00846E93">
        <w:rPr>
          <w:rFonts w:ascii="Calibri" w:eastAsia="Times New Roman" w:hAnsi="Calibri" w:cs="Calibri"/>
          <w:szCs w:val="24"/>
          <w:lang w:val="en" w:eastAsia="pl-PL"/>
        </w:rPr>
        <w:t xml:space="preserve">journals [8,9]. The obtained epitopes were used to prepare </w:t>
      </w:r>
      <w:r>
        <w:rPr>
          <w:rFonts w:ascii="Calibri" w:eastAsia="Times New Roman" w:hAnsi="Calibri" w:cs="Calibri"/>
          <w:szCs w:val="24"/>
          <w:lang w:val="en" w:eastAsia="pl-PL"/>
        </w:rPr>
        <w:t>a vaccine administrated to chickens</w:t>
      </w:r>
      <w:r w:rsidRPr="00846E93">
        <w:rPr>
          <w:rFonts w:ascii="Calibri" w:eastAsia="Times New Roman" w:hAnsi="Calibri" w:cs="Calibri"/>
          <w:szCs w:val="24"/>
          <w:lang w:val="en" w:eastAsia="pl-PL"/>
        </w:rPr>
        <w:t xml:space="preserve">. Large amounts of specific </w:t>
      </w:r>
      <w:proofErr w:type="spellStart"/>
      <w:r w:rsidRPr="00846E93">
        <w:rPr>
          <w:rFonts w:ascii="Calibri" w:eastAsia="Times New Roman" w:hAnsi="Calibri" w:cs="Calibri"/>
          <w:szCs w:val="24"/>
          <w:lang w:val="en" w:eastAsia="pl-PL"/>
        </w:rPr>
        <w:t>IgY</w:t>
      </w:r>
      <w:proofErr w:type="spellEnd"/>
      <w:r w:rsidRPr="00846E93">
        <w:rPr>
          <w:rFonts w:ascii="Calibri" w:eastAsia="Times New Roman" w:hAnsi="Calibri" w:cs="Calibri"/>
          <w:szCs w:val="24"/>
          <w:lang w:val="en" w:eastAsia="pl-PL"/>
        </w:rPr>
        <w:t xml:space="preserve"> antibodies (approx. 10 mg / egg) are isolated from the eggs of vaccinated chickens, much higher than in the ca</w:t>
      </w:r>
      <w:r>
        <w:rPr>
          <w:rFonts w:ascii="Calibri" w:eastAsia="Times New Roman" w:hAnsi="Calibri" w:cs="Calibri"/>
          <w:szCs w:val="24"/>
          <w:lang w:val="en" w:eastAsia="pl-PL"/>
        </w:rPr>
        <w:t>se of bleeding other animals, like</w:t>
      </w:r>
      <w:r w:rsidRPr="00846E93">
        <w:rPr>
          <w:rFonts w:ascii="Calibri" w:eastAsia="Times New Roman" w:hAnsi="Calibri" w:cs="Calibri"/>
          <w:szCs w:val="24"/>
          <w:lang w:val="en" w:eastAsia="pl-PL"/>
        </w:rPr>
        <w:t xml:space="preserve"> rabbits [10]. By focusing on the </w:t>
      </w:r>
      <w:r>
        <w:rPr>
          <w:rFonts w:ascii="Calibri" w:eastAsia="Times New Roman" w:hAnsi="Calibri" w:cs="Calibri"/>
          <w:szCs w:val="24"/>
          <w:lang w:val="en" w:eastAsia="pl-PL"/>
        </w:rPr>
        <w:t xml:space="preserve">surface-localized </w:t>
      </w:r>
      <w:r w:rsidRPr="00846E93">
        <w:rPr>
          <w:rFonts w:ascii="Calibri" w:eastAsia="Times New Roman" w:hAnsi="Calibri" w:cs="Calibri"/>
          <w:szCs w:val="24"/>
          <w:lang w:val="en" w:eastAsia="pl-PL"/>
        </w:rPr>
        <w:t>ta</w:t>
      </w:r>
      <w:r>
        <w:rPr>
          <w:rFonts w:ascii="Calibri" w:eastAsia="Times New Roman" w:hAnsi="Calibri" w:cs="Calibri"/>
          <w:szCs w:val="24"/>
          <w:lang w:val="en" w:eastAsia="pl-PL"/>
        </w:rPr>
        <w:t>rgets, formulation</w:t>
      </w:r>
      <w:r w:rsidRPr="00846E93">
        <w:rPr>
          <w:rFonts w:ascii="Calibri" w:eastAsia="Times New Roman" w:hAnsi="Calibri" w:cs="Calibri"/>
          <w:szCs w:val="24"/>
          <w:lang w:val="en" w:eastAsia="pl-PL"/>
        </w:rPr>
        <w:t xml:space="preserve"> will work as soon as the bacteria ent</w:t>
      </w:r>
      <w:r>
        <w:rPr>
          <w:rFonts w:ascii="Calibri" w:eastAsia="Times New Roman" w:hAnsi="Calibri" w:cs="Calibri"/>
          <w:szCs w:val="24"/>
          <w:lang w:val="en" w:eastAsia="pl-PL"/>
        </w:rPr>
        <w:t>er the body, before it multiplies</w:t>
      </w:r>
      <w:r w:rsidRPr="00846E93">
        <w:rPr>
          <w:rFonts w:ascii="Calibri" w:eastAsia="Times New Roman" w:hAnsi="Calibri" w:cs="Calibri"/>
          <w:szCs w:val="24"/>
          <w:lang w:val="en" w:eastAsia="pl-PL"/>
        </w:rPr>
        <w:t xml:space="preserve"> and </w:t>
      </w:r>
      <w:r>
        <w:rPr>
          <w:rFonts w:ascii="Calibri" w:eastAsia="Times New Roman" w:hAnsi="Calibri" w:cs="Calibri"/>
          <w:szCs w:val="24"/>
          <w:lang w:val="en" w:eastAsia="pl-PL"/>
        </w:rPr>
        <w:t xml:space="preserve">starts to produce </w:t>
      </w:r>
      <w:r w:rsidRPr="00846E93">
        <w:rPr>
          <w:rFonts w:ascii="Calibri" w:eastAsia="Times New Roman" w:hAnsi="Calibri" w:cs="Calibri"/>
          <w:szCs w:val="24"/>
          <w:lang w:val="en" w:eastAsia="pl-PL"/>
        </w:rPr>
        <w:t>the gut-d</w:t>
      </w:r>
      <w:r>
        <w:rPr>
          <w:rFonts w:ascii="Calibri" w:eastAsia="Times New Roman" w:hAnsi="Calibri" w:cs="Calibri"/>
          <w:szCs w:val="24"/>
          <w:lang w:val="en" w:eastAsia="pl-PL"/>
        </w:rPr>
        <w:t>estroying toxins</w:t>
      </w:r>
      <w:r w:rsidRPr="00846E93">
        <w:rPr>
          <w:rFonts w:ascii="Calibri" w:eastAsia="Times New Roman" w:hAnsi="Calibri" w:cs="Calibri"/>
          <w:szCs w:val="24"/>
          <w:lang w:val="en" w:eastAsia="pl-PL"/>
        </w:rPr>
        <w:t>.</w:t>
      </w:r>
    </w:p>
    <w:p w:rsidR="00846E93" w:rsidRDefault="00AA052B" w:rsidP="00846E93">
      <w:pPr>
        <w:rPr>
          <w:lang w:val="en-US"/>
        </w:rPr>
      </w:pPr>
      <w:r w:rsidRPr="00AA052B">
        <w:rPr>
          <w:noProof/>
          <w:lang w:eastAsia="pl-PL"/>
        </w:rPr>
        <w:drawing>
          <wp:anchor distT="0" distB="0" distL="114300" distR="114300" simplePos="0" relativeHeight="251659264" behindDoc="1" locked="0" layoutInCell="1" allowOverlap="1">
            <wp:simplePos x="0" y="0"/>
            <wp:positionH relativeFrom="column">
              <wp:posOffset>557522</wp:posOffset>
            </wp:positionH>
            <wp:positionV relativeFrom="paragraph">
              <wp:posOffset>130564</wp:posOffset>
            </wp:positionV>
            <wp:extent cx="5140325" cy="7146925"/>
            <wp:effectExtent l="0" t="0" r="3175" b="0"/>
            <wp:wrapTight wrapText="bothSides">
              <wp:wrapPolygon edited="0">
                <wp:start x="0" y="0"/>
                <wp:lineTo x="0" y="21533"/>
                <wp:lineTo x="21533" y="21533"/>
                <wp:lineTo x="21533" y="0"/>
                <wp:lineTo x="0" y="0"/>
              </wp:wrapPolygon>
            </wp:wrapTight>
            <wp:docPr id="2" name="Obraz 2" descr="C:\Users\AGNIES~1\AppData\Local\Temp\preview_292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IES~1\AppData\Local\Temp\preview_29284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0325" cy="7146925"/>
                    </a:xfrm>
                    <a:prstGeom prst="rect">
                      <a:avLst/>
                    </a:prstGeom>
                    <a:noFill/>
                    <a:ln>
                      <a:noFill/>
                    </a:ln>
                  </pic:spPr>
                </pic:pic>
              </a:graphicData>
            </a:graphic>
          </wp:anchor>
        </w:drawing>
      </w:r>
    </w:p>
    <w:p w:rsidR="00AA052B" w:rsidRDefault="00AA052B" w:rsidP="00846E93">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Pr="00AA052B" w:rsidRDefault="00AA052B" w:rsidP="00AA052B">
      <w:pPr>
        <w:rPr>
          <w:lang w:val="en-US"/>
        </w:rPr>
      </w:pPr>
    </w:p>
    <w:p w:rsidR="00AA052B" w:rsidRDefault="00AA052B" w:rsidP="00AA052B">
      <w:pPr>
        <w:rPr>
          <w:lang w:val="en-US"/>
        </w:rPr>
      </w:pPr>
    </w:p>
    <w:p w:rsidR="00AA052B" w:rsidRDefault="00AA052B" w:rsidP="00AA052B">
      <w:pPr>
        <w:rPr>
          <w:lang w:val="en-US"/>
        </w:rPr>
      </w:pPr>
    </w:p>
    <w:p w:rsidR="00AA052B" w:rsidRDefault="00AA052B" w:rsidP="00AA052B">
      <w:pPr>
        <w:rPr>
          <w:lang w:val="en-US"/>
        </w:rPr>
      </w:pPr>
    </w:p>
    <w:p w:rsidR="00AA052B" w:rsidRDefault="00AA052B" w:rsidP="00AA052B">
      <w:pPr>
        <w:rPr>
          <w:lang w:val="en-US"/>
        </w:rPr>
      </w:pPr>
    </w:p>
    <w:p w:rsidR="00AA052B" w:rsidRDefault="00AA052B" w:rsidP="00AA052B">
      <w:pPr>
        <w:rPr>
          <w:lang w:val="en-US"/>
        </w:rPr>
      </w:pPr>
    </w:p>
    <w:p w:rsidR="00AA052B" w:rsidRDefault="00AA052B" w:rsidP="00AA052B">
      <w:pPr>
        <w:rPr>
          <w:lang w:val="en-US"/>
        </w:rPr>
      </w:pPr>
    </w:p>
    <w:p w:rsidR="00AA052B" w:rsidRDefault="00AA052B" w:rsidP="00AA052B">
      <w:pPr>
        <w:rPr>
          <w:lang w:val="en-US"/>
        </w:rPr>
      </w:pPr>
    </w:p>
    <w:p w:rsidR="00AA052B" w:rsidRDefault="00AA052B" w:rsidP="00AA052B">
      <w:pPr>
        <w:rPr>
          <w:lang w:val="en-US"/>
        </w:rPr>
      </w:pPr>
    </w:p>
    <w:p w:rsidR="00AA052B" w:rsidRDefault="00AA052B" w:rsidP="00AA052B">
      <w:pPr>
        <w:spacing w:line="240" w:lineRule="auto"/>
        <w:jc w:val="both"/>
        <w:rPr>
          <w:rFonts w:ascii="Calibri" w:eastAsia="Times New Roman" w:hAnsi="Calibri" w:cs="Calibri"/>
          <w:szCs w:val="24"/>
          <w:lang w:val="en" w:eastAsia="pl-PL"/>
        </w:rPr>
      </w:pPr>
      <w:r>
        <w:rPr>
          <w:rFonts w:ascii="Calibri" w:eastAsia="Times New Roman" w:hAnsi="Calibri" w:cs="Calibri"/>
          <w:szCs w:val="24"/>
          <w:lang w:val="en" w:eastAsia="pl-PL"/>
        </w:rPr>
        <w:lastRenderedPageBreak/>
        <w:t>There are t</w:t>
      </w:r>
      <w:r w:rsidRPr="00AA052B">
        <w:rPr>
          <w:rFonts w:ascii="Calibri" w:eastAsia="Times New Roman" w:hAnsi="Calibri" w:cs="Calibri"/>
          <w:szCs w:val="24"/>
          <w:lang w:val="en" w:eastAsia="pl-PL"/>
        </w:rPr>
        <w:t xml:space="preserve">wo large groups of people </w:t>
      </w:r>
      <w:r>
        <w:rPr>
          <w:rFonts w:ascii="Calibri" w:eastAsia="Times New Roman" w:hAnsi="Calibri" w:cs="Calibri"/>
          <w:szCs w:val="24"/>
          <w:lang w:val="en" w:eastAsia="pl-PL"/>
        </w:rPr>
        <w:t xml:space="preserve">that </w:t>
      </w:r>
      <w:r w:rsidRPr="00AA052B">
        <w:rPr>
          <w:rFonts w:ascii="Calibri" w:eastAsia="Times New Roman" w:hAnsi="Calibri" w:cs="Calibri"/>
          <w:szCs w:val="24"/>
          <w:lang w:val="en" w:eastAsia="pl-PL"/>
        </w:rPr>
        <w:t>can be potential recipients of the preparation. Th</w:t>
      </w:r>
      <w:r>
        <w:rPr>
          <w:rFonts w:ascii="Calibri" w:eastAsia="Times New Roman" w:hAnsi="Calibri" w:cs="Calibri"/>
          <w:szCs w:val="24"/>
          <w:lang w:val="en" w:eastAsia="pl-PL"/>
        </w:rPr>
        <w:t>e first one, patients before a</w:t>
      </w:r>
      <w:r w:rsidRPr="00AA052B">
        <w:rPr>
          <w:rFonts w:ascii="Calibri" w:eastAsia="Times New Roman" w:hAnsi="Calibri" w:cs="Calibri"/>
          <w:szCs w:val="24"/>
          <w:lang w:val="en" w:eastAsia="pl-PL"/>
        </w:rPr>
        <w:t xml:space="preserve"> planned procedure in the hospital, especially people over </w:t>
      </w:r>
      <w:r>
        <w:rPr>
          <w:rFonts w:ascii="Calibri" w:eastAsia="Times New Roman" w:hAnsi="Calibri" w:cs="Calibri"/>
          <w:szCs w:val="24"/>
          <w:lang w:val="en" w:eastAsia="pl-PL"/>
        </w:rPr>
        <w:t xml:space="preserve">their </w:t>
      </w:r>
      <w:r w:rsidRPr="00AA052B">
        <w:rPr>
          <w:rFonts w:ascii="Calibri" w:eastAsia="Times New Roman" w:hAnsi="Calibri" w:cs="Calibri"/>
          <w:szCs w:val="24"/>
          <w:lang w:val="en" w:eastAsia="pl-PL"/>
        </w:rPr>
        <w:t>60</w:t>
      </w:r>
      <w:r>
        <w:rPr>
          <w:rFonts w:ascii="Calibri" w:eastAsia="Times New Roman" w:hAnsi="Calibri" w:cs="Calibri"/>
          <w:szCs w:val="24"/>
          <w:lang w:val="en" w:eastAsia="pl-PL"/>
        </w:rPr>
        <w:t>’</w:t>
      </w:r>
      <w:r w:rsidRPr="00AA052B">
        <w:rPr>
          <w:rFonts w:ascii="Calibri" w:eastAsia="Times New Roman" w:hAnsi="Calibri" w:cs="Calibri"/>
          <w:szCs w:val="24"/>
          <w:lang w:val="en" w:eastAsia="pl-PL"/>
        </w:rPr>
        <w:t xml:space="preserve"> or with reduced immunity. Second, people who are already infected </w:t>
      </w:r>
      <w:r>
        <w:rPr>
          <w:rFonts w:ascii="Calibri" w:eastAsia="Times New Roman" w:hAnsi="Calibri" w:cs="Calibri"/>
          <w:szCs w:val="24"/>
          <w:lang w:val="en" w:eastAsia="pl-PL"/>
        </w:rPr>
        <w:t xml:space="preserve">could </w:t>
      </w:r>
      <w:r w:rsidRPr="00AA052B">
        <w:rPr>
          <w:rFonts w:ascii="Calibri" w:eastAsia="Times New Roman" w:hAnsi="Calibri" w:cs="Calibri"/>
          <w:szCs w:val="24"/>
          <w:lang w:val="en" w:eastAsia="pl-PL"/>
        </w:rPr>
        <w:t>us</w:t>
      </w:r>
      <w:r>
        <w:rPr>
          <w:rFonts w:ascii="Calibri" w:eastAsia="Times New Roman" w:hAnsi="Calibri" w:cs="Calibri"/>
          <w:szCs w:val="24"/>
          <w:lang w:val="en" w:eastAsia="pl-PL"/>
        </w:rPr>
        <w:t>e the preparation as a supplement</w:t>
      </w:r>
      <w:r w:rsidRPr="00AA052B">
        <w:rPr>
          <w:rFonts w:ascii="Calibri" w:eastAsia="Times New Roman" w:hAnsi="Calibri" w:cs="Calibri"/>
          <w:szCs w:val="24"/>
          <w:lang w:val="en" w:eastAsia="pl-PL"/>
        </w:rPr>
        <w:t xml:space="preserve"> in antibiotic therapy, which will potentially shorten the duration of </w:t>
      </w:r>
      <w:r>
        <w:rPr>
          <w:rFonts w:ascii="Calibri" w:eastAsia="Times New Roman" w:hAnsi="Calibri" w:cs="Calibri"/>
          <w:szCs w:val="24"/>
          <w:lang w:val="en" w:eastAsia="pl-PL"/>
        </w:rPr>
        <w:t>treatment. However, the target group</w:t>
      </w:r>
      <w:r w:rsidRPr="00AA052B">
        <w:rPr>
          <w:rFonts w:ascii="Calibri" w:eastAsia="Times New Roman" w:hAnsi="Calibri" w:cs="Calibri"/>
          <w:szCs w:val="24"/>
          <w:lang w:val="en" w:eastAsia="pl-PL"/>
        </w:rPr>
        <w:t xml:space="preserve"> should not be narrowed down as the preparation could also be used preventively in long-te</w:t>
      </w:r>
      <w:r>
        <w:rPr>
          <w:rFonts w:ascii="Calibri" w:eastAsia="Times New Roman" w:hAnsi="Calibri" w:cs="Calibri"/>
          <w:szCs w:val="24"/>
          <w:lang w:val="en" w:eastAsia="pl-PL"/>
        </w:rPr>
        <w:t>rm and palliative care units or</w:t>
      </w:r>
      <w:r w:rsidRPr="00AA052B">
        <w:rPr>
          <w:rFonts w:ascii="Calibri" w:eastAsia="Times New Roman" w:hAnsi="Calibri" w:cs="Calibri"/>
          <w:szCs w:val="24"/>
          <w:lang w:val="en" w:eastAsia="pl-PL"/>
        </w:rPr>
        <w:t xml:space="preserve"> in people who frequently use antibiotics at home.</w:t>
      </w:r>
    </w:p>
    <w:p w:rsidR="00AA052B" w:rsidRPr="00AA052B" w:rsidRDefault="00613CF5" w:rsidP="00AA052B">
      <w:pPr>
        <w:spacing w:after="0" w:line="240" w:lineRule="auto"/>
        <w:jc w:val="both"/>
        <w:rPr>
          <w:rFonts w:ascii="Calibri" w:eastAsia="Times New Roman" w:hAnsi="Calibri" w:cs="Calibri"/>
          <w:szCs w:val="24"/>
          <w:lang w:val="en-US" w:eastAsia="pl-PL"/>
        </w:rPr>
      </w:pPr>
      <w:r>
        <w:rPr>
          <w:rFonts w:ascii="Calibri" w:eastAsia="Times New Roman" w:hAnsi="Calibri" w:cs="Calibri"/>
          <w:szCs w:val="24"/>
          <w:lang w:val="en" w:eastAsia="pl-PL"/>
        </w:rPr>
        <w:t>T</w:t>
      </w:r>
      <w:r w:rsidR="00AA052B" w:rsidRPr="00AA052B">
        <w:rPr>
          <w:rFonts w:ascii="Calibri" w:eastAsia="Times New Roman" w:hAnsi="Calibri" w:cs="Calibri"/>
          <w:szCs w:val="24"/>
          <w:lang w:val="en" w:eastAsia="pl-PL"/>
        </w:rPr>
        <w:t xml:space="preserve">he preparation we propose is characterized by the fact that it is of natural origin, which makes it safe. It is inexpensive to obtain and the production methods are widely used. The preparation is characterized by a much higher specificity than preparations obtained by immunizing chickens with whole bacteria. The preparation will be easy to use in the form of a powder to be dissolved in water (other forms of the product are possible, e.g. granules, tablets). </w:t>
      </w:r>
      <w:proofErr w:type="spellStart"/>
      <w:r w:rsidR="00AA052B" w:rsidRPr="00AA052B">
        <w:rPr>
          <w:rFonts w:ascii="Calibri" w:eastAsia="Times New Roman" w:hAnsi="Calibri" w:cs="Calibri"/>
          <w:szCs w:val="24"/>
          <w:lang w:val="en" w:eastAsia="pl-PL"/>
        </w:rPr>
        <w:t>IgY</w:t>
      </w:r>
      <w:proofErr w:type="spellEnd"/>
      <w:r w:rsidR="00AA052B" w:rsidRPr="00AA052B">
        <w:rPr>
          <w:rFonts w:ascii="Calibri" w:eastAsia="Times New Roman" w:hAnsi="Calibri" w:cs="Calibri"/>
          <w:szCs w:val="24"/>
          <w:lang w:val="en" w:eastAsia="pl-PL"/>
        </w:rPr>
        <w:t xml:space="preserve"> antibodies are resistant to the conditions in the digestive system, so there is no need to use sophisticated formulations. They are also resistant to high temperature, so the preparation does not require refrigeration.</w:t>
      </w:r>
    </w:p>
    <w:p w:rsidR="00AA052B" w:rsidRDefault="00AA052B" w:rsidP="00AA052B">
      <w:pPr>
        <w:rPr>
          <w:lang w:val="en-US"/>
        </w:rPr>
      </w:pPr>
    </w:p>
    <w:p w:rsidR="00AA052B" w:rsidRDefault="00AC469A" w:rsidP="00AA052B">
      <w:pPr>
        <w:rPr>
          <w:lang w:val="en-US"/>
        </w:rPr>
      </w:pPr>
      <w:r>
        <w:rPr>
          <w:lang w:val="en-US"/>
        </w:rPr>
        <w:t>Our team:</w:t>
      </w:r>
    </w:p>
    <w:p w:rsidR="00AC469A" w:rsidRDefault="00AC469A" w:rsidP="00AC469A">
      <w:pPr>
        <w:jc w:val="both"/>
      </w:pPr>
      <w:r>
        <w:t>Prof.</w:t>
      </w:r>
      <w:r>
        <w:t xml:space="preserve"> </w:t>
      </w:r>
      <w:r>
        <w:t xml:space="preserve">Andrzej </w:t>
      </w:r>
      <w:proofErr w:type="spellStart"/>
      <w:r>
        <w:t>Gamian</w:t>
      </w:r>
      <w:proofErr w:type="spellEnd"/>
      <w:r>
        <w:t xml:space="preserve"> </w:t>
      </w:r>
      <w:r>
        <w:t>- PI</w:t>
      </w:r>
    </w:p>
    <w:p w:rsidR="00AC469A" w:rsidRDefault="00AC469A" w:rsidP="00AC469A">
      <w:pPr>
        <w:jc w:val="both"/>
      </w:pPr>
      <w:r>
        <w:t>Dr Sabina Górska</w:t>
      </w:r>
    </w:p>
    <w:p w:rsidR="00AC469A" w:rsidRDefault="00AC469A" w:rsidP="00AC469A">
      <w:pPr>
        <w:jc w:val="both"/>
      </w:pPr>
      <w:r>
        <w:t>Dr Agnieszka Razim</w:t>
      </w:r>
    </w:p>
    <w:p w:rsidR="00AC469A" w:rsidRDefault="00AC469A" w:rsidP="00AC469A">
      <w:pPr>
        <w:jc w:val="both"/>
      </w:pPr>
      <w:r>
        <w:t xml:space="preserve">Katarzyna </w:t>
      </w:r>
      <w:proofErr w:type="spellStart"/>
      <w:r>
        <w:t>Pacyga</w:t>
      </w:r>
      <w:proofErr w:type="spellEnd"/>
      <w:r>
        <w:t>-Prus</w:t>
      </w:r>
    </w:p>
    <w:p w:rsidR="00AC469A" w:rsidRPr="00AC469A" w:rsidRDefault="00AC469A" w:rsidP="00AC469A">
      <w:pPr>
        <w:jc w:val="both"/>
      </w:pPr>
      <w:r w:rsidRPr="00AC469A">
        <w:t xml:space="preserve">Swen Stręk </w:t>
      </w:r>
    </w:p>
    <w:p w:rsidR="00AC469A" w:rsidRPr="00AC469A" w:rsidRDefault="00AC469A" w:rsidP="00AA052B">
      <w:bookmarkStart w:id="0" w:name="_GoBack"/>
      <w:bookmarkEnd w:id="0"/>
    </w:p>
    <w:p w:rsidR="00AA052B" w:rsidRPr="00AA052B" w:rsidRDefault="00AA052B" w:rsidP="00AA052B">
      <w:pPr>
        <w:spacing w:after="0"/>
        <w:jc w:val="both"/>
        <w:rPr>
          <w:sz w:val="16"/>
          <w:lang w:val="en-US"/>
        </w:rPr>
      </w:pPr>
      <w:r w:rsidRPr="00AA052B">
        <w:rPr>
          <w:sz w:val="16"/>
          <w:lang w:val="en-US"/>
        </w:rPr>
        <w:t xml:space="preserve">1. </w:t>
      </w:r>
      <w:proofErr w:type="spellStart"/>
      <w:r w:rsidRPr="00AA052B">
        <w:rPr>
          <w:sz w:val="16"/>
          <w:lang w:val="en-US"/>
        </w:rPr>
        <w:t>Gerding</w:t>
      </w:r>
      <w:proofErr w:type="spellEnd"/>
      <w:r w:rsidRPr="00AA052B">
        <w:rPr>
          <w:sz w:val="16"/>
          <w:lang w:val="en-US"/>
        </w:rPr>
        <w:t xml:space="preserve">, D.N.; Johnson, S.; Peterson, L.R.; Mulligan, M.E.; Silva, J., Jr Clostridium difficile-associated diarrhea and colitis. Infect Control Hosp </w:t>
      </w:r>
      <w:proofErr w:type="spellStart"/>
      <w:r w:rsidRPr="00AA052B">
        <w:rPr>
          <w:sz w:val="16"/>
          <w:lang w:val="en-US"/>
        </w:rPr>
        <w:t>Epidemiol</w:t>
      </w:r>
      <w:proofErr w:type="spellEnd"/>
      <w:r w:rsidRPr="00AA052B">
        <w:rPr>
          <w:sz w:val="16"/>
          <w:lang w:val="en-US"/>
        </w:rPr>
        <w:t xml:space="preserve"> 1995, 16, 459–477.</w:t>
      </w:r>
    </w:p>
    <w:p w:rsidR="00AA052B" w:rsidRPr="00AA052B" w:rsidRDefault="00AA052B" w:rsidP="00AA052B">
      <w:pPr>
        <w:spacing w:after="0"/>
        <w:jc w:val="both"/>
        <w:rPr>
          <w:sz w:val="16"/>
          <w:lang w:val="en-US"/>
        </w:rPr>
      </w:pPr>
      <w:r w:rsidRPr="00AA052B">
        <w:rPr>
          <w:sz w:val="16"/>
          <w:lang w:val="en-US"/>
        </w:rPr>
        <w:t xml:space="preserve">2. </w:t>
      </w:r>
      <w:proofErr w:type="spellStart"/>
      <w:r w:rsidRPr="00AA052B">
        <w:rPr>
          <w:sz w:val="16"/>
          <w:lang w:val="en-US"/>
        </w:rPr>
        <w:t>Pépin</w:t>
      </w:r>
      <w:proofErr w:type="spellEnd"/>
      <w:r w:rsidRPr="00AA052B">
        <w:rPr>
          <w:sz w:val="16"/>
          <w:lang w:val="en-US"/>
        </w:rPr>
        <w:t xml:space="preserve">, J.; </w:t>
      </w:r>
      <w:proofErr w:type="spellStart"/>
      <w:r w:rsidRPr="00AA052B">
        <w:rPr>
          <w:sz w:val="16"/>
          <w:lang w:val="en-US"/>
        </w:rPr>
        <w:t>Routhier</w:t>
      </w:r>
      <w:proofErr w:type="spellEnd"/>
      <w:r w:rsidRPr="00AA052B">
        <w:rPr>
          <w:sz w:val="16"/>
          <w:lang w:val="en-US"/>
        </w:rPr>
        <w:t xml:space="preserve">, S.; Gagnon, S.; Brazeau, I. Management and outcomes of a first recurrence of Clostridium difficile-associated disease in Quebec, Canada. </w:t>
      </w:r>
      <w:proofErr w:type="spellStart"/>
      <w:r w:rsidRPr="00AA052B">
        <w:rPr>
          <w:sz w:val="16"/>
          <w:lang w:val="en-US"/>
        </w:rPr>
        <w:t>Clin</w:t>
      </w:r>
      <w:proofErr w:type="spellEnd"/>
      <w:r w:rsidRPr="00AA052B">
        <w:rPr>
          <w:sz w:val="16"/>
          <w:lang w:val="en-US"/>
        </w:rPr>
        <w:t>. Infect. Dis. 2006, 42, 758–764, doi:10.1086/501126.</w:t>
      </w:r>
    </w:p>
    <w:p w:rsidR="00AA052B" w:rsidRPr="00AA052B" w:rsidRDefault="00AA052B" w:rsidP="00AA052B">
      <w:pPr>
        <w:spacing w:after="0"/>
        <w:jc w:val="both"/>
        <w:rPr>
          <w:sz w:val="16"/>
          <w:lang w:val="en-US"/>
        </w:rPr>
      </w:pPr>
      <w:r w:rsidRPr="00AA052B">
        <w:rPr>
          <w:sz w:val="16"/>
          <w:lang w:val="en-US"/>
        </w:rPr>
        <w:t xml:space="preserve">3. McFarland, L.V.; Elmer, G.W.; </w:t>
      </w:r>
      <w:proofErr w:type="spellStart"/>
      <w:r w:rsidRPr="00AA052B">
        <w:rPr>
          <w:sz w:val="16"/>
          <w:lang w:val="en-US"/>
        </w:rPr>
        <w:t>Surawicz</w:t>
      </w:r>
      <w:proofErr w:type="spellEnd"/>
      <w:r w:rsidRPr="00AA052B">
        <w:rPr>
          <w:sz w:val="16"/>
          <w:lang w:val="en-US"/>
        </w:rPr>
        <w:t>, C.M. Breaking the cycle: treatment strategies for 163 cases of recurrent Clostridium difficile disease. Am. J. Gastroenterol. 2002, 97, 1769–1775, doi:10.1111/j.1572-0241.2002.05839.x.</w:t>
      </w:r>
    </w:p>
    <w:p w:rsidR="00AA052B" w:rsidRPr="00AA052B" w:rsidRDefault="00AA052B" w:rsidP="00AA052B">
      <w:pPr>
        <w:spacing w:after="0"/>
        <w:jc w:val="both"/>
        <w:rPr>
          <w:sz w:val="16"/>
          <w:lang w:val="en-US"/>
        </w:rPr>
      </w:pPr>
      <w:r w:rsidRPr="00AA052B">
        <w:rPr>
          <w:sz w:val="16"/>
          <w:lang w:val="en-US"/>
        </w:rPr>
        <w:t>4. Healthcare-associated infections: Clostridium difficile infections - Annual Epidemiological Report for 2016 Available online: http://ecdc.europa.eu/en/publications-data/healthcare-associated-infections-clostridium-difficile-infections-annual (accessed on Dec 29, 2018).</w:t>
      </w:r>
    </w:p>
    <w:p w:rsidR="00AA052B" w:rsidRPr="00AA052B" w:rsidRDefault="00AA052B" w:rsidP="00AA052B">
      <w:pPr>
        <w:spacing w:after="0"/>
        <w:jc w:val="both"/>
        <w:rPr>
          <w:sz w:val="16"/>
          <w:lang w:val="en-US"/>
        </w:rPr>
      </w:pPr>
      <w:r w:rsidRPr="00AA052B">
        <w:rPr>
          <w:sz w:val="16"/>
          <w:lang w:val="en-US"/>
        </w:rPr>
        <w:t xml:space="preserve">5. Heister, T.; </w:t>
      </w:r>
      <w:proofErr w:type="spellStart"/>
      <w:r w:rsidRPr="00AA052B">
        <w:rPr>
          <w:sz w:val="16"/>
          <w:lang w:val="en-US"/>
        </w:rPr>
        <w:t>Wolkewitz</w:t>
      </w:r>
      <w:proofErr w:type="spellEnd"/>
      <w:r w:rsidRPr="00AA052B">
        <w:rPr>
          <w:sz w:val="16"/>
          <w:lang w:val="en-US"/>
        </w:rPr>
        <w:t xml:space="preserve">, M.; </w:t>
      </w:r>
      <w:proofErr w:type="spellStart"/>
      <w:r w:rsidRPr="00AA052B">
        <w:rPr>
          <w:sz w:val="16"/>
          <w:lang w:val="en-US"/>
        </w:rPr>
        <w:t>Hehn</w:t>
      </w:r>
      <w:proofErr w:type="spellEnd"/>
      <w:r w:rsidRPr="00AA052B">
        <w:rPr>
          <w:sz w:val="16"/>
          <w:lang w:val="en-US"/>
        </w:rPr>
        <w:t xml:space="preserve">, P.; Wolff, J.; </w:t>
      </w:r>
      <w:proofErr w:type="spellStart"/>
      <w:r w:rsidRPr="00AA052B">
        <w:rPr>
          <w:sz w:val="16"/>
          <w:lang w:val="en-US"/>
        </w:rPr>
        <w:t>Dettenkofer</w:t>
      </w:r>
      <w:proofErr w:type="spellEnd"/>
      <w:r w:rsidRPr="00AA052B">
        <w:rPr>
          <w:sz w:val="16"/>
          <w:lang w:val="en-US"/>
        </w:rPr>
        <w:t xml:space="preserve">, M.; </w:t>
      </w:r>
      <w:proofErr w:type="spellStart"/>
      <w:r w:rsidRPr="00AA052B">
        <w:rPr>
          <w:sz w:val="16"/>
          <w:lang w:val="en-US"/>
        </w:rPr>
        <w:t>Grundmann</w:t>
      </w:r>
      <w:proofErr w:type="spellEnd"/>
      <w:r w:rsidRPr="00AA052B">
        <w:rPr>
          <w:sz w:val="16"/>
          <w:lang w:val="en-US"/>
        </w:rPr>
        <w:t xml:space="preserve">, H.; </w:t>
      </w:r>
      <w:proofErr w:type="spellStart"/>
      <w:r w:rsidRPr="00AA052B">
        <w:rPr>
          <w:sz w:val="16"/>
          <w:lang w:val="en-US"/>
        </w:rPr>
        <w:t>Kaier</w:t>
      </w:r>
      <w:proofErr w:type="spellEnd"/>
      <w:r w:rsidRPr="00AA052B">
        <w:rPr>
          <w:sz w:val="16"/>
          <w:lang w:val="en-US"/>
        </w:rPr>
        <w:t>, K. Costs of hospital-acquired Clostridium difficile infections: an analysis on the effect of time-dependent exposures using routine and surveillance data. Cost Effectiveness and Resource Allocation 2019, 17, 16, doi:10.1186/s12962-019-0184-5.</w:t>
      </w:r>
    </w:p>
    <w:p w:rsidR="00AA052B" w:rsidRPr="00AA052B" w:rsidRDefault="00AA052B" w:rsidP="00AA052B">
      <w:pPr>
        <w:spacing w:after="0"/>
        <w:jc w:val="both"/>
        <w:rPr>
          <w:sz w:val="16"/>
          <w:lang w:val="en-US"/>
        </w:rPr>
      </w:pPr>
      <w:r w:rsidRPr="00613CF5">
        <w:rPr>
          <w:sz w:val="16"/>
          <w:lang w:val="en-US"/>
        </w:rPr>
        <w:t xml:space="preserve">6. </w:t>
      </w:r>
      <w:proofErr w:type="spellStart"/>
      <w:r w:rsidRPr="00613CF5">
        <w:rPr>
          <w:sz w:val="16"/>
          <w:lang w:val="en-US"/>
        </w:rPr>
        <w:t>Bielec</w:t>
      </w:r>
      <w:proofErr w:type="spellEnd"/>
      <w:r w:rsidRPr="00613CF5">
        <w:rPr>
          <w:sz w:val="16"/>
          <w:lang w:val="en-US"/>
        </w:rPr>
        <w:t xml:space="preserve">, D.; </w:t>
      </w:r>
      <w:proofErr w:type="spellStart"/>
      <w:r w:rsidRPr="00613CF5">
        <w:rPr>
          <w:sz w:val="16"/>
          <w:lang w:val="en-US"/>
        </w:rPr>
        <w:t>Stempkowska</w:t>
      </w:r>
      <w:proofErr w:type="spellEnd"/>
      <w:r w:rsidRPr="00613CF5">
        <w:rPr>
          <w:sz w:val="16"/>
          <w:lang w:val="en-US"/>
        </w:rPr>
        <w:t xml:space="preserve">, J.; </w:t>
      </w:r>
      <w:proofErr w:type="spellStart"/>
      <w:r w:rsidRPr="00613CF5">
        <w:rPr>
          <w:sz w:val="16"/>
          <w:lang w:val="en-US"/>
        </w:rPr>
        <w:t>Markiewicz-Zięba</w:t>
      </w:r>
      <w:proofErr w:type="spellEnd"/>
      <w:r w:rsidRPr="00613CF5">
        <w:rPr>
          <w:sz w:val="16"/>
          <w:lang w:val="en-US"/>
        </w:rPr>
        <w:t xml:space="preserve">, M. </w:t>
      </w:r>
      <w:proofErr w:type="spellStart"/>
      <w:r w:rsidRPr="00613CF5">
        <w:rPr>
          <w:sz w:val="16"/>
          <w:lang w:val="en-US"/>
        </w:rPr>
        <w:t>Postępy</w:t>
      </w:r>
      <w:proofErr w:type="spellEnd"/>
      <w:r w:rsidRPr="00613CF5">
        <w:rPr>
          <w:sz w:val="16"/>
          <w:lang w:val="en-US"/>
        </w:rPr>
        <w:t xml:space="preserve"> w </w:t>
      </w:r>
      <w:proofErr w:type="spellStart"/>
      <w:r w:rsidRPr="00613CF5">
        <w:rPr>
          <w:sz w:val="16"/>
          <w:lang w:val="en-US"/>
        </w:rPr>
        <w:t>leczeniu</w:t>
      </w:r>
      <w:proofErr w:type="spellEnd"/>
      <w:r w:rsidRPr="00613CF5">
        <w:rPr>
          <w:sz w:val="16"/>
          <w:lang w:val="en-US"/>
        </w:rPr>
        <w:t xml:space="preserve"> </w:t>
      </w:r>
      <w:proofErr w:type="spellStart"/>
      <w:r w:rsidRPr="00613CF5">
        <w:rPr>
          <w:sz w:val="16"/>
          <w:lang w:val="en-US"/>
        </w:rPr>
        <w:t>zakażenia</w:t>
      </w:r>
      <w:proofErr w:type="spellEnd"/>
      <w:r w:rsidRPr="00613CF5">
        <w:rPr>
          <w:sz w:val="16"/>
          <w:lang w:val="en-US"/>
        </w:rPr>
        <w:t xml:space="preserve"> Clostridium difficile. </w:t>
      </w:r>
      <w:proofErr w:type="spellStart"/>
      <w:r w:rsidRPr="00AA052B">
        <w:rPr>
          <w:sz w:val="16"/>
          <w:lang w:val="en-US"/>
        </w:rPr>
        <w:t>Postępy</w:t>
      </w:r>
      <w:proofErr w:type="spellEnd"/>
      <w:r w:rsidRPr="00AA052B">
        <w:rPr>
          <w:sz w:val="16"/>
          <w:lang w:val="en-US"/>
        </w:rPr>
        <w:t xml:space="preserve"> </w:t>
      </w:r>
      <w:proofErr w:type="spellStart"/>
      <w:r w:rsidRPr="00AA052B">
        <w:rPr>
          <w:sz w:val="16"/>
          <w:lang w:val="en-US"/>
        </w:rPr>
        <w:t>Nauk</w:t>
      </w:r>
      <w:proofErr w:type="spellEnd"/>
      <w:r w:rsidRPr="00AA052B">
        <w:rPr>
          <w:sz w:val="16"/>
          <w:lang w:val="en-US"/>
        </w:rPr>
        <w:t xml:space="preserve"> </w:t>
      </w:r>
      <w:proofErr w:type="spellStart"/>
      <w:r w:rsidRPr="00AA052B">
        <w:rPr>
          <w:sz w:val="16"/>
          <w:lang w:val="en-US"/>
        </w:rPr>
        <w:t>Medycznych</w:t>
      </w:r>
      <w:proofErr w:type="spellEnd"/>
      <w:r w:rsidRPr="00AA052B">
        <w:rPr>
          <w:sz w:val="16"/>
          <w:lang w:val="en-US"/>
        </w:rPr>
        <w:t xml:space="preserve"> 2014, XXVII.</w:t>
      </w:r>
    </w:p>
    <w:p w:rsidR="00AA052B" w:rsidRPr="00AA052B" w:rsidRDefault="00AA052B" w:rsidP="00AA052B">
      <w:pPr>
        <w:spacing w:after="0"/>
        <w:jc w:val="both"/>
        <w:rPr>
          <w:sz w:val="16"/>
          <w:lang w:val="en-US"/>
        </w:rPr>
      </w:pPr>
      <w:r w:rsidRPr="00AA052B">
        <w:rPr>
          <w:sz w:val="16"/>
          <w:lang w:val="en-US"/>
        </w:rPr>
        <w:t xml:space="preserve">7. Freeman, J.; Vernon, J.; Morris, K.; Nicholson, S.; </w:t>
      </w:r>
      <w:proofErr w:type="spellStart"/>
      <w:r w:rsidRPr="00AA052B">
        <w:rPr>
          <w:sz w:val="16"/>
          <w:lang w:val="en-US"/>
        </w:rPr>
        <w:t>Todhunter</w:t>
      </w:r>
      <w:proofErr w:type="spellEnd"/>
      <w:r w:rsidRPr="00AA052B">
        <w:rPr>
          <w:sz w:val="16"/>
          <w:lang w:val="en-US"/>
        </w:rPr>
        <w:t xml:space="preserve">, S.; </w:t>
      </w:r>
      <w:proofErr w:type="spellStart"/>
      <w:r w:rsidRPr="00AA052B">
        <w:rPr>
          <w:sz w:val="16"/>
          <w:lang w:val="en-US"/>
        </w:rPr>
        <w:t>Longshaw</w:t>
      </w:r>
      <w:proofErr w:type="spellEnd"/>
      <w:r w:rsidRPr="00AA052B">
        <w:rPr>
          <w:sz w:val="16"/>
          <w:lang w:val="en-US"/>
        </w:rPr>
        <w:t xml:space="preserve">, C.; Wilcox, M.H.; Pan-European Longitudinal Surveillance of Antibiotic Resistance among Prevalent Clostridium difficile </w:t>
      </w:r>
      <w:proofErr w:type="spellStart"/>
      <w:r w:rsidRPr="00AA052B">
        <w:rPr>
          <w:sz w:val="16"/>
          <w:lang w:val="en-US"/>
        </w:rPr>
        <w:t>Ribotypes</w:t>
      </w:r>
      <w:proofErr w:type="spellEnd"/>
      <w:r w:rsidRPr="00AA052B">
        <w:rPr>
          <w:sz w:val="16"/>
          <w:lang w:val="en-US"/>
        </w:rPr>
        <w:t xml:space="preserve">’ Study Group Pan-European longitudinal surveillance of antibiotic resistance among prevalent Clostridium difficile </w:t>
      </w:r>
      <w:proofErr w:type="spellStart"/>
      <w:r w:rsidRPr="00AA052B">
        <w:rPr>
          <w:sz w:val="16"/>
          <w:lang w:val="en-US"/>
        </w:rPr>
        <w:t>ribotypes</w:t>
      </w:r>
      <w:proofErr w:type="spellEnd"/>
      <w:r w:rsidRPr="00AA052B">
        <w:rPr>
          <w:sz w:val="16"/>
          <w:lang w:val="en-US"/>
        </w:rPr>
        <w:t xml:space="preserve">. </w:t>
      </w:r>
      <w:proofErr w:type="spellStart"/>
      <w:r w:rsidRPr="00AA052B">
        <w:rPr>
          <w:sz w:val="16"/>
          <w:lang w:val="en-US"/>
        </w:rPr>
        <w:t>Clin</w:t>
      </w:r>
      <w:proofErr w:type="spellEnd"/>
      <w:r w:rsidRPr="00AA052B">
        <w:rPr>
          <w:sz w:val="16"/>
          <w:lang w:val="en-US"/>
        </w:rPr>
        <w:t xml:space="preserve">. </w:t>
      </w:r>
      <w:proofErr w:type="spellStart"/>
      <w:r w:rsidRPr="00AA052B">
        <w:rPr>
          <w:sz w:val="16"/>
          <w:lang w:val="en-US"/>
        </w:rPr>
        <w:t>Microbiol</w:t>
      </w:r>
      <w:proofErr w:type="spellEnd"/>
      <w:r w:rsidRPr="00AA052B">
        <w:rPr>
          <w:sz w:val="16"/>
          <w:lang w:val="en-US"/>
        </w:rPr>
        <w:t>. Infect. 2015, 21, 248.e9-248.e16, doi:10.1016/j.cmi.2014.09.017.</w:t>
      </w:r>
    </w:p>
    <w:p w:rsidR="00AA052B" w:rsidRPr="00AA052B" w:rsidRDefault="00AA052B" w:rsidP="00AA052B">
      <w:pPr>
        <w:spacing w:after="0"/>
        <w:jc w:val="both"/>
        <w:rPr>
          <w:sz w:val="16"/>
          <w:lang w:val="en-US"/>
        </w:rPr>
      </w:pPr>
      <w:r w:rsidRPr="00AA052B">
        <w:rPr>
          <w:sz w:val="16"/>
          <w:lang w:val="en-US"/>
        </w:rPr>
        <w:t xml:space="preserve">8. Razim, A.; </w:t>
      </w:r>
      <w:proofErr w:type="spellStart"/>
      <w:r w:rsidRPr="00AA052B">
        <w:rPr>
          <w:sz w:val="16"/>
          <w:lang w:val="en-US"/>
        </w:rPr>
        <w:t>Pacyga</w:t>
      </w:r>
      <w:proofErr w:type="spellEnd"/>
      <w:r w:rsidRPr="00AA052B">
        <w:rPr>
          <w:sz w:val="16"/>
          <w:lang w:val="en-US"/>
        </w:rPr>
        <w:t xml:space="preserve">, K.; </w:t>
      </w:r>
      <w:proofErr w:type="spellStart"/>
      <w:r w:rsidRPr="00AA052B">
        <w:rPr>
          <w:sz w:val="16"/>
          <w:lang w:val="en-US"/>
        </w:rPr>
        <w:t>Martirosian</w:t>
      </w:r>
      <w:proofErr w:type="spellEnd"/>
      <w:r w:rsidRPr="00AA052B">
        <w:rPr>
          <w:sz w:val="16"/>
          <w:lang w:val="en-US"/>
        </w:rPr>
        <w:t xml:space="preserve">, G.; </w:t>
      </w:r>
      <w:proofErr w:type="spellStart"/>
      <w:r w:rsidRPr="00AA052B">
        <w:rPr>
          <w:sz w:val="16"/>
          <w:lang w:val="en-US"/>
        </w:rPr>
        <w:t>Szuba</w:t>
      </w:r>
      <w:proofErr w:type="spellEnd"/>
      <w:r w:rsidRPr="00AA052B">
        <w:rPr>
          <w:sz w:val="16"/>
          <w:lang w:val="en-US"/>
        </w:rPr>
        <w:t xml:space="preserve">, A.; </w:t>
      </w:r>
      <w:proofErr w:type="spellStart"/>
      <w:r w:rsidRPr="00AA052B">
        <w:rPr>
          <w:sz w:val="16"/>
          <w:lang w:val="en-US"/>
        </w:rPr>
        <w:t>Gamian</w:t>
      </w:r>
      <w:proofErr w:type="spellEnd"/>
      <w:r w:rsidRPr="00AA052B">
        <w:rPr>
          <w:sz w:val="16"/>
          <w:lang w:val="en-US"/>
        </w:rPr>
        <w:t xml:space="preserve">, A.; </w:t>
      </w:r>
      <w:proofErr w:type="spellStart"/>
      <w:r w:rsidRPr="00AA052B">
        <w:rPr>
          <w:sz w:val="16"/>
          <w:lang w:val="en-US"/>
        </w:rPr>
        <w:t>Myc</w:t>
      </w:r>
      <w:proofErr w:type="spellEnd"/>
      <w:r w:rsidRPr="00AA052B">
        <w:rPr>
          <w:sz w:val="16"/>
          <w:lang w:val="en-US"/>
        </w:rPr>
        <w:t xml:space="preserve">, A.; </w:t>
      </w:r>
      <w:proofErr w:type="spellStart"/>
      <w:r w:rsidRPr="00AA052B">
        <w:rPr>
          <w:sz w:val="16"/>
          <w:lang w:val="en-US"/>
        </w:rPr>
        <w:t>Górska</w:t>
      </w:r>
      <w:proofErr w:type="spellEnd"/>
      <w:r w:rsidRPr="00AA052B">
        <w:rPr>
          <w:sz w:val="16"/>
          <w:lang w:val="en-US"/>
        </w:rPr>
        <w:t xml:space="preserve">, S. Mapping Epitopes of a Novel Peptidoglycan Cross-Linking Enzyme Cwp22 Recognized by Human Sera Obtained from Patients with </w:t>
      </w:r>
      <w:proofErr w:type="spellStart"/>
      <w:r w:rsidRPr="00AA052B">
        <w:rPr>
          <w:sz w:val="16"/>
          <w:lang w:val="en-US"/>
        </w:rPr>
        <w:t>Clostridioides</w:t>
      </w:r>
      <w:proofErr w:type="spellEnd"/>
      <w:r w:rsidRPr="00AA052B">
        <w:rPr>
          <w:sz w:val="16"/>
          <w:lang w:val="en-US"/>
        </w:rPr>
        <w:t xml:space="preserve"> difficile Infection and Cord Blood. Microorganisms 2019, 7, 565, doi:10.3390/microorganisms7110565.</w:t>
      </w:r>
    </w:p>
    <w:p w:rsidR="00AA052B" w:rsidRPr="00AA052B" w:rsidRDefault="00AA052B" w:rsidP="00AA052B">
      <w:pPr>
        <w:spacing w:after="0"/>
        <w:jc w:val="both"/>
        <w:rPr>
          <w:sz w:val="16"/>
          <w:lang w:val="en-US"/>
        </w:rPr>
      </w:pPr>
      <w:r w:rsidRPr="00AA052B">
        <w:rPr>
          <w:sz w:val="16"/>
          <w:lang w:val="en-US"/>
        </w:rPr>
        <w:t xml:space="preserve">9. </w:t>
      </w:r>
      <w:proofErr w:type="spellStart"/>
      <w:r w:rsidRPr="00AA052B">
        <w:rPr>
          <w:sz w:val="16"/>
          <w:lang w:val="en-US"/>
        </w:rPr>
        <w:t>Pacyga</w:t>
      </w:r>
      <w:proofErr w:type="spellEnd"/>
      <w:r w:rsidRPr="00AA052B">
        <w:rPr>
          <w:sz w:val="16"/>
          <w:lang w:val="en-US"/>
        </w:rPr>
        <w:t xml:space="preserve">, K.; Razim, A.; </w:t>
      </w:r>
      <w:proofErr w:type="spellStart"/>
      <w:r w:rsidRPr="00AA052B">
        <w:rPr>
          <w:sz w:val="16"/>
          <w:lang w:val="en-US"/>
        </w:rPr>
        <w:t>Martirosian</w:t>
      </w:r>
      <w:proofErr w:type="spellEnd"/>
      <w:r w:rsidRPr="00AA052B">
        <w:rPr>
          <w:sz w:val="16"/>
          <w:lang w:val="en-US"/>
        </w:rPr>
        <w:t xml:space="preserve">, G.; </w:t>
      </w:r>
      <w:proofErr w:type="spellStart"/>
      <w:r w:rsidRPr="00AA052B">
        <w:rPr>
          <w:sz w:val="16"/>
          <w:lang w:val="en-US"/>
        </w:rPr>
        <w:t>Aptekorz</w:t>
      </w:r>
      <w:proofErr w:type="spellEnd"/>
      <w:r w:rsidRPr="00AA052B">
        <w:rPr>
          <w:sz w:val="16"/>
          <w:lang w:val="en-US"/>
        </w:rPr>
        <w:t xml:space="preserve">, M.; </w:t>
      </w:r>
      <w:proofErr w:type="spellStart"/>
      <w:r w:rsidRPr="00AA052B">
        <w:rPr>
          <w:sz w:val="16"/>
          <w:lang w:val="en-US"/>
        </w:rPr>
        <w:t>Szuba</w:t>
      </w:r>
      <w:proofErr w:type="spellEnd"/>
      <w:r w:rsidRPr="00AA052B">
        <w:rPr>
          <w:sz w:val="16"/>
          <w:lang w:val="en-US"/>
        </w:rPr>
        <w:t xml:space="preserve">, A.; </w:t>
      </w:r>
      <w:proofErr w:type="spellStart"/>
      <w:r w:rsidRPr="00AA052B">
        <w:rPr>
          <w:sz w:val="16"/>
          <w:lang w:val="en-US"/>
        </w:rPr>
        <w:t>Gamian</w:t>
      </w:r>
      <w:proofErr w:type="spellEnd"/>
      <w:r w:rsidRPr="00AA052B">
        <w:rPr>
          <w:sz w:val="16"/>
          <w:lang w:val="en-US"/>
        </w:rPr>
        <w:t xml:space="preserve">, A.; </w:t>
      </w:r>
      <w:proofErr w:type="spellStart"/>
      <w:r w:rsidRPr="00AA052B">
        <w:rPr>
          <w:sz w:val="16"/>
          <w:lang w:val="en-US"/>
        </w:rPr>
        <w:t>Myc</w:t>
      </w:r>
      <w:proofErr w:type="spellEnd"/>
      <w:r w:rsidRPr="00AA052B">
        <w:rPr>
          <w:sz w:val="16"/>
          <w:lang w:val="en-US"/>
        </w:rPr>
        <w:t xml:space="preserve">, A.; </w:t>
      </w:r>
      <w:proofErr w:type="spellStart"/>
      <w:r w:rsidRPr="00AA052B">
        <w:rPr>
          <w:sz w:val="16"/>
          <w:lang w:val="en-US"/>
        </w:rPr>
        <w:t>Górska</w:t>
      </w:r>
      <w:proofErr w:type="spellEnd"/>
      <w:r w:rsidRPr="00AA052B">
        <w:rPr>
          <w:sz w:val="16"/>
          <w:lang w:val="en-US"/>
        </w:rPr>
        <w:t xml:space="preserve">, S. The Bioinformatic and In Vitro Studies of </w:t>
      </w:r>
      <w:proofErr w:type="spellStart"/>
      <w:r w:rsidRPr="00AA052B">
        <w:rPr>
          <w:sz w:val="16"/>
          <w:lang w:val="en-US"/>
        </w:rPr>
        <w:t>Clostridioides</w:t>
      </w:r>
      <w:proofErr w:type="spellEnd"/>
      <w:r w:rsidRPr="00AA052B">
        <w:rPr>
          <w:sz w:val="16"/>
          <w:lang w:val="en-US"/>
        </w:rPr>
        <w:t xml:space="preserve"> Difficile Aminopeptidase M24 Revealed the </w:t>
      </w:r>
      <w:proofErr w:type="spellStart"/>
      <w:r w:rsidRPr="00AA052B">
        <w:rPr>
          <w:sz w:val="16"/>
          <w:lang w:val="en-US"/>
        </w:rPr>
        <w:t>Immunoreactive</w:t>
      </w:r>
      <w:proofErr w:type="spellEnd"/>
      <w:r w:rsidRPr="00AA052B">
        <w:rPr>
          <w:sz w:val="16"/>
          <w:lang w:val="en-US"/>
        </w:rPr>
        <w:t xml:space="preserve"> KKGIK Peptide. Cells 2020, 9, 1146, doi:10.3390/cells9051146.</w:t>
      </w:r>
    </w:p>
    <w:p w:rsidR="00AA052B" w:rsidRPr="00AA052B" w:rsidRDefault="00AA052B" w:rsidP="00AA052B">
      <w:pPr>
        <w:spacing w:after="0"/>
        <w:jc w:val="both"/>
        <w:rPr>
          <w:sz w:val="16"/>
          <w:lang w:val="en-US"/>
        </w:rPr>
      </w:pPr>
      <w:r w:rsidRPr="00AA052B">
        <w:rPr>
          <w:sz w:val="16"/>
          <w:lang w:val="en-US"/>
        </w:rPr>
        <w:t xml:space="preserve">10. Ferreira Júnior, Á.; Santiago, F.M.; Silva, M.V.; Ferreira, F.B.; </w:t>
      </w:r>
      <w:proofErr w:type="spellStart"/>
      <w:r w:rsidRPr="00AA052B">
        <w:rPr>
          <w:sz w:val="16"/>
          <w:lang w:val="en-US"/>
        </w:rPr>
        <w:t>Macêdo</w:t>
      </w:r>
      <w:proofErr w:type="spellEnd"/>
      <w:r w:rsidRPr="00AA052B">
        <w:rPr>
          <w:sz w:val="16"/>
          <w:lang w:val="en-US"/>
        </w:rPr>
        <w:t xml:space="preserve"> Júnior, A.G.; </w:t>
      </w:r>
      <w:proofErr w:type="spellStart"/>
      <w:r w:rsidRPr="00AA052B">
        <w:rPr>
          <w:sz w:val="16"/>
          <w:lang w:val="en-US"/>
        </w:rPr>
        <w:t>Mota</w:t>
      </w:r>
      <w:proofErr w:type="spellEnd"/>
      <w:r w:rsidRPr="00AA052B">
        <w:rPr>
          <w:sz w:val="16"/>
          <w:lang w:val="en-US"/>
        </w:rPr>
        <w:t xml:space="preserve">, C.M.; </w:t>
      </w:r>
      <w:proofErr w:type="spellStart"/>
      <w:r w:rsidRPr="00AA052B">
        <w:rPr>
          <w:sz w:val="16"/>
          <w:lang w:val="en-US"/>
        </w:rPr>
        <w:t>Faria</w:t>
      </w:r>
      <w:proofErr w:type="spellEnd"/>
      <w:r w:rsidRPr="00AA052B">
        <w:rPr>
          <w:sz w:val="16"/>
          <w:lang w:val="en-US"/>
        </w:rPr>
        <w:t xml:space="preserve">, M.S.; Silva Filho, H.H.; Silva, D.A.O.; Cunha-Júnior, J.P.; et al. Production, characterization and applications for Toxoplasma gondii-specific polyclonal chicken egg yolk immunoglobulins. </w:t>
      </w:r>
      <w:proofErr w:type="spellStart"/>
      <w:r w:rsidRPr="00AA052B">
        <w:rPr>
          <w:sz w:val="16"/>
          <w:lang w:val="en-US"/>
        </w:rPr>
        <w:t>PLoS</w:t>
      </w:r>
      <w:proofErr w:type="spellEnd"/>
      <w:r w:rsidRPr="00AA052B">
        <w:rPr>
          <w:sz w:val="16"/>
          <w:lang w:val="en-US"/>
        </w:rPr>
        <w:t xml:space="preserve"> ONE 2012, 7, e40391, doi:10.1371/journal.pone.0040391.</w:t>
      </w:r>
    </w:p>
    <w:p w:rsidR="00AA052B" w:rsidRPr="00AA052B" w:rsidRDefault="00AA052B" w:rsidP="00AA052B">
      <w:pPr>
        <w:rPr>
          <w:lang w:val="en-US"/>
        </w:rPr>
      </w:pPr>
    </w:p>
    <w:sectPr w:rsidR="00AA052B" w:rsidRPr="00AA052B" w:rsidSect="00846E9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BE" w:rsidRDefault="00CE4BBE" w:rsidP="00846E93">
      <w:pPr>
        <w:spacing w:after="0" w:line="240" w:lineRule="auto"/>
      </w:pPr>
      <w:r>
        <w:separator/>
      </w:r>
    </w:p>
  </w:endnote>
  <w:endnote w:type="continuationSeparator" w:id="0">
    <w:p w:rsidR="00CE4BBE" w:rsidRDefault="00CE4BBE" w:rsidP="0084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5974"/>
      <w:docPartObj>
        <w:docPartGallery w:val="Page Numbers (Bottom of Page)"/>
        <w:docPartUnique/>
      </w:docPartObj>
    </w:sdtPr>
    <w:sdtEndPr/>
    <w:sdtContent>
      <w:p w:rsidR="00846E93" w:rsidRDefault="00846E93">
        <w:pPr>
          <w:pStyle w:val="Stopka"/>
          <w:jc w:val="center"/>
        </w:pPr>
        <w:r>
          <w:fldChar w:fldCharType="begin"/>
        </w:r>
        <w:r>
          <w:instrText>PAGE   \* MERGEFORMAT</w:instrText>
        </w:r>
        <w:r>
          <w:fldChar w:fldCharType="separate"/>
        </w:r>
        <w:r w:rsidR="00AC469A">
          <w:rPr>
            <w:noProof/>
          </w:rPr>
          <w:t>2</w:t>
        </w:r>
        <w:r>
          <w:fldChar w:fldCharType="end"/>
        </w:r>
      </w:p>
    </w:sdtContent>
  </w:sdt>
  <w:p w:rsidR="00846E93" w:rsidRDefault="00846E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BE" w:rsidRDefault="00CE4BBE" w:rsidP="00846E93">
      <w:pPr>
        <w:spacing w:after="0" w:line="240" w:lineRule="auto"/>
      </w:pPr>
      <w:r>
        <w:separator/>
      </w:r>
    </w:p>
  </w:footnote>
  <w:footnote w:type="continuationSeparator" w:id="0">
    <w:p w:rsidR="00CE4BBE" w:rsidRDefault="00CE4BBE" w:rsidP="00846E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0E"/>
    <w:rsid w:val="00167299"/>
    <w:rsid w:val="001D7A18"/>
    <w:rsid w:val="003006E1"/>
    <w:rsid w:val="004718F7"/>
    <w:rsid w:val="004B43F2"/>
    <w:rsid w:val="004C72FB"/>
    <w:rsid w:val="00613CF5"/>
    <w:rsid w:val="006D570E"/>
    <w:rsid w:val="00846E93"/>
    <w:rsid w:val="00907156"/>
    <w:rsid w:val="00AA052B"/>
    <w:rsid w:val="00AC469A"/>
    <w:rsid w:val="00AD5AC3"/>
    <w:rsid w:val="00CE4BBE"/>
    <w:rsid w:val="00D0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D2CC"/>
  <w15:chartTrackingRefBased/>
  <w15:docId w15:val="{7A835AC7-A9D7-46C5-B676-E6BAB71A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6D570E"/>
  </w:style>
  <w:style w:type="paragraph" w:styleId="Nagwek">
    <w:name w:val="header"/>
    <w:basedOn w:val="Normalny"/>
    <w:link w:val="NagwekZnak"/>
    <w:uiPriority w:val="99"/>
    <w:unhideWhenUsed/>
    <w:rsid w:val="00846E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6E93"/>
  </w:style>
  <w:style w:type="paragraph" w:styleId="Stopka">
    <w:name w:val="footer"/>
    <w:basedOn w:val="Normalny"/>
    <w:link w:val="StopkaZnak"/>
    <w:uiPriority w:val="99"/>
    <w:unhideWhenUsed/>
    <w:rsid w:val="00846E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6E93"/>
  </w:style>
  <w:style w:type="paragraph" w:styleId="Bibliografia">
    <w:name w:val="Bibliography"/>
    <w:basedOn w:val="Normalny"/>
    <w:next w:val="Normalny"/>
    <w:uiPriority w:val="37"/>
    <w:semiHidden/>
    <w:unhideWhenUsed/>
    <w:rsid w:val="00AA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00877">
      <w:bodyDiv w:val="1"/>
      <w:marLeft w:val="0"/>
      <w:marRight w:val="0"/>
      <w:marTop w:val="0"/>
      <w:marBottom w:val="0"/>
      <w:divBdr>
        <w:top w:val="none" w:sz="0" w:space="0" w:color="auto"/>
        <w:left w:val="none" w:sz="0" w:space="0" w:color="auto"/>
        <w:bottom w:val="none" w:sz="0" w:space="0" w:color="auto"/>
        <w:right w:val="none" w:sz="0" w:space="0" w:color="auto"/>
      </w:divBdr>
      <w:divsChild>
        <w:div w:id="449398837">
          <w:marLeft w:val="0"/>
          <w:marRight w:val="0"/>
          <w:marTop w:val="0"/>
          <w:marBottom w:val="0"/>
          <w:divBdr>
            <w:top w:val="none" w:sz="0" w:space="0" w:color="auto"/>
            <w:left w:val="none" w:sz="0" w:space="0" w:color="auto"/>
            <w:bottom w:val="none" w:sz="0" w:space="0" w:color="auto"/>
            <w:right w:val="none" w:sz="0" w:space="0" w:color="auto"/>
          </w:divBdr>
          <w:divsChild>
            <w:div w:id="16895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5446">
      <w:bodyDiv w:val="1"/>
      <w:marLeft w:val="0"/>
      <w:marRight w:val="0"/>
      <w:marTop w:val="0"/>
      <w:marBottom w:val="0"/>
      <w:divBdr>
        <w:top w:val="none" w:sz="0" w:space="0" w:color="auto"/>
        <w:left w:val="none" w:sz="0" w:space="0" w:color="auto"/>
        <w:bottom w:val="none" w:sz="0" w:space="0" w:color="auto"/>
        <w:right w:val="none" w:sz="0" w:space="0" w:color="auto"/>
      </w:divBdr>
      <w:divsChild>
        <w:div w:id="1327708906">
          <w:marLeft w:val="0"/>
          <w:marRight w:val="0"/>
          <w:marTop w:val="0"/>
          <w:marBottom w:val="0"/>
          <w:divBdr>
            <w:top w:val="none" w:sz="0" w:space="0" w:color="auto"/>
            <w:left w:val="none" w:sz="0" w:space="0" w:color="auto"/>
            <w:bottom w:val="none" w:sz="0" w:space="0" w:color="auto"/>
            <w:right w:val="none" w:sz="0" w:space="0" w:color="auto"/>
          </w:divBdr>
          <w:divsChild>
            <w:div w:id="1371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1177</Words>
  <Characters>7067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Razim</dc:creator>
  <cp:keywords/>
  <dc:description/>
  <cp:lastModifiedBy>Agnieszka Razim</cp:lastModifiedBy>
  <cp:revision>3</cp:revision>
  <dcterms:created xsi:type="dcterms:W3CDTF">2020-10-06T17:21:00Z</dcterms:created>
  <dcterms:modified xsi:type="dcterms:W3CDTF">2022-02-28T19:42:00Z</dcterms:modified>
</cp:coreProperties>
</file>