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CF4" w:rsidRPr="004060D9" w:rsidRDefault="00A0693E" w:rsidP="00656BB9">
      <w:pPr>
        <w:ind w:firstLine="708"/>
        <w:jc w:val="both"/>
      </w:pPr>
      <w:proofErr w:type="spellStart"/>
      <w:r>
        <w:rPr>
          <w:i/>
          <w:iCs/>
        </w:rPr>
        <w:t>Clostridioides</w:t>
      </w:r>
      <w:proofErr w:type="spellEnd"/>
      <w:r w:rsidR="00F37CF4">
        <w:rPr>
          <w:i/>
          <w:iCs/>
        </w:rPr>
        <w:t xml:space="preserve"> </w:t>
      </w:r>
      <w:proofErr w:type="spellStart"/>
      <w:r w:rsidR="00F37CF4">
        <w:rPr>
          <w:i/>
          <w:iCs/>
        </w:rPr>
        <w:t>difficile</w:t>
      </w:r>
      <w:proofErr w:type="spellEnd"/>
      <w:r w:rsidR="00F37CF4">
        <w:rPr>
          <w:i/>
          <w:iCs/>
        </w:rPr>
        <w:t xml:space="preserve"> </w:t>
      </w:r>
      <w:r w:rsidR="00F37CF4">
        <w:t>(CD) należy do grupy oportunistycznych, anaerobowych bakterii wywołujących schorzenia układu pokarmowego ludzi i zwierząt. Są to Gram-dodatnie laseczki wytwarzające groźne dla zdrowia toksyny (A i B) oraz spory o dużej o</w:t>
      </w:r>
      <w:r w:rsidR="00287C37">
        <w:t>d</w:t>
      </w:r>
      <w:r w:rsidR="00F37CF4">
        <w:t>porności na wysokie temperatury oraz powszechnie stosowane środki utrzymania czystoś</w:t>
      </w:r>
      <w:r w:rsidR="007518DA">
        <w:t xml:space="preserve">ci </w:t>
      </w:r>
      <w:r w:rsidR="007518DA">
        <w:fldChar w:fldCharType="begin"/>
      </w:r>
      <w:r w:rsidR="007518DA">
        <w:instrText xml:space="preserve"> ADDIN ZOTERO_ITEM CSL_CITATION {"citationID":"xpoCIDyy","properties":{"formattedCitation":"[1]","plainCitation":"[1]","noteIndex":0},"citationItems":[{"id":526,"uris":["http://zotero.org/users/local/N7DyqKKL/items/PKLH372F"],"uri":["http://zotero.org/users/local/N7DyqKKL/items/PKLH372F"],"itemData":{"id":526,"type":"article-journal","abstract":"OBJECTIVES: To review and summarize the status of diagnosis, epidemiology, infection control, and treatment of Clostridium difficile-associated disease (CDAD).\nDIAGNOSIS: A case definition of CDAD should include the presence of symptoms (usually diarrhea) and at least one of the following positive tests: endoscopy revealing pseudomembranes, stool cytotoxicity test for toxin B, stool enzyme immunoassay for toxin A or B, or stool culture for C difficile (preferably with confirmation of organism toxicity if a direct stool toxin test is negative or not done). Testing of asymptomatic patients, including those who are asymptomatic after treatment, is not recommended other than for epidemiologic purposes. Lower gastrointestinal endoscopy is the only diagnostic test for pseudomembranous colitis, but it is expensive, invasive, and insensitive (51% to 55%) for the diagnosis of CDAD. Stool culture is the most sensitive laboratory test currently in clinical use, but it is not as specific as the cell cytotoxicity assay.\nEPIDEMIOLOGY: C difficile is the most frequently identified cause of nosocomial diarrhea. The majority of C difficile infections are acquired nosocomially, and most patients remain asymptomatic following acquisition. Antimicrobial exposure is the greatest risk factor for patients, especially clindamycin, cephalosporins, and penicillins, although virtually every antimicrobial has been implicated. Cases of CDAD unassociated with prior antimicrobial or antineoplastic use are very rare. Hands of personnel, as well as a variety of environmental sites within institutions, have been found to be contaminated with C difficile, which can persist as spores for many months. Contaminated commodes, bathing tubs, and electronic thermometers have been implicated as sources of C difficile. Symptomatic and asymptomatic infected patients are the major reservoirs and sources for environmental contamination. Both genotypic and phenotypic typing systems for C difficile are available and have enhanced epidemiologic investigation greatly.\nINFECTION CONTROL: Successful infection control measures designed to prevent horizontal transmission include the use of gloves in handling body substances and replacement of electronic thermometers with disposable devices. Isolation, cohorting, handwashing, environmental disinfection, and treatment of asymptomatic carriers are recommended practices for which convincing data of efficacy are not available. The most successful control measure directed at reduction in symptomatic disease has been antimicrobial restriction.\nTREATMENT: Treatment of symptomatic (but not asymptomatic) patients with metronidazole or vancomycin for 10 days is effective; metronidazole may be preferred to reduce risk of vancomycin resistance among other organisms in hospitals. Recurrence of symptoms occurs in 7% to 20% of patients and is due to both relapse and reinfection. Over 90% of first recurrences can be treated successfully in the same manner as initial cases. Combination treatment with vancomycin plus rifampin or the addition orally of the yeast Saccharomyces boulardii to vancomycin or metronidazole treatment has been shown to prevent subsequent diarrhea in patients with recurrent disease.","container-title":"Infection control and hospital epidemiology: the official journal of the Society of Hospital Epidemiologists of America","ISSN":"0899-823X","issue":"8","journalAbbreviation":"Infect Control Hosp Epidemiol","language":"eng","page":"459-477","source":"NCBI PubMed","title":"Clostridium difficile-associated diarrhea and colitis","volume":"16","author":[{"family":"Gerding","given":"D N"},{"family":"Johnson","given":"S"},{"family":"Peterson","given":"L R"},{"family":"Mulligan","given":"M E"},{"family":"Silva","given":"J","suffix":"Jr"}],"issued":{"date-parts":[["1995",8]]}}}],"schema":"https://github.com/citation-style-language/schema/raw/master/csl-citation.json"} </w:instrText>
      </w:r>
      <w:r w:rsidR="007518DA">
        <w:fldChar w:fldCharType="separate"/>
      </w:r>
      <w:r w:rsidR="007518DA" w:rsidRPr="007518DA">
        <w:rPr>
          <w:rFonts w:ascii="Calibri" w:hAnsi="Calibri" w:cs="Calibri"/>
        </w:rPr>
        <w:t>[1]</w:t>
      </w:r>
      <w:r w:rsidR="007518DA">
        <w:fldChar w:fldCharType="end"/>
      </w:r>
      <w:r w:rsidR="007518DA">
        <w:t>. CD</w:t>
      </w:r>
      <w:r w:rsidR="00F37CF4">
        <w:rPr>
          <w:i/>
          <w:iCs/>
        </w:rPr>
        <w:t xml:space="preserve"> </w:t>
      </w:r>
      <w:r w:rsidR="00F37CF4">
        <w:t>nie jest bakterią inwazyjną, ale po długotrwałej antybiotykoterapii i zahamowaniu rozwoju prawidł</w:t>
      </w:r>
      <w:r w:rsidR="007518DA">
        <w:t>owej flory bakteryjnej pacjenta powoduje</w:t>
      </w:r>
      <w:r w:rsidR="00F37CF4">
        <w:t xml:space="preserve"> </w:t>
      </w:r>
      <w:r w:rsidR="007518DA">
        <w:t xml:space="preserve">biegunkę </w:t>
      </w:r>
      <w:proofErr w:type="spellStart"/>
      <w:r w:rsidR="007518DA">
        <w:t>poantybiotykową</w:t>
      </w:r>
      <w:proofErr w:type="spellEnd"/>
      <w:r w:rsidR="007518DA">
        <w:t xml:space="preserve">, która dotyka nawet 10% hospitalizowanych osób. </w:t>
      </w:r>
      <w:r w:rsidR="00F37CF4">
        <w:t xml:space="preserve">Do najczęstszych powikłań po </w:t>
      </w:r>
      <w:r w:rsidR="007518DA">
        <w:t>zakażeniu CD</w:t>
      </w:r>
      <w:r w:rsidR="00F37CF4">
        <w:t xml:space="preserve"> należy </w:t>
      </w:r>
      <w:proofErr w:type="spellStart"/>
      <w:r w:rsidR="00F37CF4">
        <w:t>rzekomobłoniaste</w:t>
      </w:r>
      <w:proofErr w:type="spellEnd"/>
      <w:r w:rsidR="00F37CF4">
        <w:t xml:space="preserve"> zapalenie jelita grubego (u 25% chorych), a bardzo ciężka postać</w:t>
      </w:r>
      <w:r w:rsidR="007518DA">
        <w:t xml:space="preserve"> zakażenia</w:t>
      </w:r>
      <w:r w:rsidR="00F37CF4">
        <w:t xml:space="preserve"> występuje u 3% chorych i u 11% chorych, którzy zarazili się</w:t>
      </w:r>
      <w:r w:rsidR="007518DA">
        <w:t xml:space="preserve"> szczepem </w:t>
      </w:r>
      <w:proofErr w:type="spellStart"/>
      <w:r w:rsidR="007518DA">
        <w:t>hiperwirulentnym</w:t>
      </w:r>
      <w:proofErr w:type="spellEnd"/>
      <w:r w:rsidR="007518DA">
        <w:t xml:space="preserve"> </w:t>
      </w:r>
      <w:r w:rsidR="007518DA">
        <w:fldChar w:fldCharType="begin"/>
      </w:r>
      <w:r w:rsidR="007518DA">
        <w:instrText xml:space="preserve"> ADDIN ZOTERO_ITEM CSL_CITATION {"citationID":"ua0cl0pT","properties":{"formattedCitation":"[2]","plainCitation":"[2]","noteIndex":0},"citationItems":[{"id":569,"uris":["http://zotero.org/users/local/N7DyqKKL/items/JVIN7IGM"],"uri":["http://zotero.org/users/local/N7DyqKKL/items/JVIN7IGM"],"itemData":{"id":569,"type":"article-journal","abstract":"BACKGROUND: During an epidemic of Clostridium difficile-associated disease (CDAD) caused by a strain that is a hyper-producer of toxins A and B, the frequency of a first recurrence after metronidazole treatment of the initial episode doubled in 2003-2004, compared with 1991-2002.\nMETHODS: To examine whether administration of metronidazole as treatment for a first recurrence of CDAD remained appropriate, we reviewed data for patients with CDAD diagnosed in a hospital in Quebec, Canada, during 1991-2005, who experienced a first recurrence. The frequency of a second recurrence within 60 days after the first one was measured using Kaplan-Meier analysis. Cox regression was used for multivariate analysis.\nRESULTS: A total of 463 patients had a first recurrence of CDAD, of whom 154 (33.3%) experienced a second recurrence. Independent predictors of a second recurrence were age and duration of hospitalization after the first recurrence; this latter finding suggested that many such episodes were reinfections rather than relapses. Neither choice of treatment drug (metronidazole or vancomycin) nor use of the same drug for treatment of first recurrence, as had been used during the initial episode, was associated with increased risk of a second recurrence. However, 51 patients (11.0%) developed at least 1 complication (i.e., shock, need for colectomy, megacolon, perforation, or death within 30 days) during the first recurrence. Older age, a high leukocyte count, and renal failure at first recurrence were strongly associated with a complicated CDAD.\nCONCLUSIONS: Metronidazole is not inferior to vancomycin for treatment of patients with a first recurrence of CDAD, but the risk of complications with any treatment of CDAD may be higher than has previously been documented.","container-title":"Clinical Infectious Diseases: An Official Publication of the Infectious Diseases Society of America","DOI":"10.1086/501126","ISSN":"1537-6591","issue":"6","journalAbbreviation":"Clin. Infect. Dis.","language":"eng","page":"758-764","source":"PubMed","title":"Management and outcomes of a first recurrence of Clostridium difficile-associated disease in Quebec, Canada","volume":"42","author":[{"family":"Pépin","given":"Jacques"},{"family":"Routhier","given":"Sophie"},{"family":"Gagnon","given":"Sandra"},{"family":"Brazeau","given":"Isabel"}],"issued":{"date-parts":[["2006",3,15]]}}}],"schema":"https://github.com/citation-style-language/schema/raw/master/csl-citation.json"} </w:instrText>
      </w:r>
      <w:r w:rsidR="007518DA">
        <w:fldChar w:fldCharType="separate"/>
      </w:r>
      <w:r w:rsidR="007518DA" w:rsidRPr="007518DA">
        <w:rPr>
          <w:rFonts w:ascii="Calibri" w:hAnsi="Calibri" w:cs="Calibri"/>
        </w:rPr>
        <w:t>[2]</w:t>
      </w:r>
      <w:r w:rsidR="007518DA">
        <w:fldChar w:fldCharType="end"/>
      </w:r>
      <w:r w:rsidR="00F37CF4">
        <w:t xml:space="preserve">. Może dojść do mnogich perforacji jelita, zapalenia otrzewnej z wtórną posocznicą i zgonem. W ciągu ostatnich dziesięciu lat w krajach wysoko rozwiniętych nastąpił wyraźny wzrost zapadalności oraz ciężkości przebiegu zakażeń. </w:t>
      </w:r>
      <w:r w:rsidR="007518DA">
        <w:t>Co więcej, n</w:t>
      </w:r>
      <w:r w:rsidR="00F37CF4">
        <w:t>awrót choroby po pierwszym leczeniu występuje u około 20% chorych, po</w:t>
      </w:r>
      <w:r w:rsidR="00287C37">
        <w:t xml:space="preserve"> drugim leczeniu u około 40% </w:t>
      </w:r>
      <w:r w:rsidR="00287C37">
        <w:fldChar w:fldCharType="begin"/>
      </w:r>
      <w:r w:rsidR="00287C37">
        <w:instrText xml:space="preserve"> ADDIN ZOTERO_ITEM CSL_CITATION {"citationID":"CDVS3v1S","properties":{"formattedCitation":"[3]","plainCitation":"[3]","noteIndex":0},"citationItems":[{"id":859,"uris":["http://zotero.org/users/local/N7DyqKKL/items/ZZBKGFT9"],"uri":["http://zotero.org/users/local/N7DyqKKL/items/ZZBKGFT9"],"itemData":{"id":859,"type":"article-journal","abstract":"OBJECTIVE: There is currently uncertainty as to the best treatment for patients with recurrent episodes of Clostridium difficile disease (RCDD). Our objective was to evaluate the success of treatment strategies in a cohort of 163 RCDD patients.\nMETHODS: Data were used from patients who had participated in the placebo arm in two national referral clinical trials evaluating a new combination treatment. Patients with active RCCD were enrolled, prescribed either vancomycin or metronidazole, and randomized to either the investigational biological or a placebo. All patients were observed for at least 2 months for a subsequent episode of RCCD.\nRESULTS: Of the 163 cases, 44.8% recurred. A tapering course of vancomycin resulted in significantly fewer recurrences (31%, p = 0.01), as did pulsed dosing of vancomycin (14.3%, p = 0.02). A trend (p = 0.09) for a lower recurrence frequency was observed for high-dose (&gt; or =2 g/day) vancomycin and low-dose (&lt; or =1 g/day) metronidazole. Vancomycin was significantly more effective in clearing C. difficile culture and/or toxin by the end of therapy than metronidazole (89% vs 59%, respectively; p &lt; 0.001).\nCONCLUSIONS: These data show that tapered or pulsed dosing regimens of vancomycin may result in a significantly better cure of RCDD. The persistence of C. difficile spores suggests that additional strategies to restore the normal colonic microflora may also be beneficial.","container-title":"The American Journal of Gastroenterology","DOI":"10.1111/j.1572-0241.2002.05839.x","ISSN":"0002-9270","issue":"7","journalAbbreviation":"Am. J. Gastroenterol.","language":"eng","page":"1769-1775","source":"PubMed","title":"Breaking the cycle: treatment strategies for 163 cases of recurrent Clostridium difficile disease","title-short":"Breaking the cycle","volume":"97","author":[{"family":"McFarland","given":"Lynne V."},{"family":"Elmer","given":"Gary W."},{"family":"Surawicz","given":"Christina M."}],"issued":{"date-parts":[["2002",7]]}}}],"schema":"https://github.com/citation-style-language/schema/raw/master/csl-citation.json"} </w:instrText>
      </w:r>
      <w:r w:rsidR="00287C37">
        <w:fldChar w:fldCharType="separate"/>
      </w:r>
      <w:r w:rsidR="00287C37" w:rsidRPr="00287C37">
        <w:rPr>
          <w:rFonts w:ascii="Calibri" w:hAnsi="Calibri" w:cs="Calibri"/>
        </w:rPr>
        <w:t>[3]</w:t>
      </w:r>
      <w:r w:rsidR="00287C37">
        <w:fldChar w:fldCharType="end"/>
      </w:r>
      <w:r w:rsidR="00F37CF4">
        <w:t>.</w:t>
      </w:r>
      <w:r w:rsidR="007518DA">
        <w:t xml:space="preserve"> </w:t>
      </w:r>
      <w:r w:rsidR="004060D9" w:rsidRPr="004060D9">
        <w:t>Dane zebrane przez</w:t>
      </w:r>
      <w:r w:rsidR="007518DA" w:rsidRPr="004060D9">
        <w:t xml:space="preserve"> </w:t>
      </w:r>
      <w:r w:rsidR="004060D9" w:rsidRPr="004060D9">
        <w:t>ECDC (</w:t>
      </w:r>
      <w:proofErr w:type="spellStart"/>
      <w:r w:rsidR="004060D9" w:rsidRPr="004060D9">
        <w:t>European</w:t>
      </w:r>
      <w:proofErr w:type="spellEnd"/>
      <w:r w:rsidR="004060D9" w:rsidRPr="004060D9">
        <w:t xml:space="preserve"> Centre for </w:t>
      </w:r>
      <w:proofErr w:type="spellStart"/>
      <w:r w:rsidR="004060D9" w:rsidRPr="004060D9">
        <w:t>Disease</w:t>
      </w:r>
      <w:proofErr w:type="spellEnd"/>
      <w:r w:rsidR="004060D9" w:rsidRPr="004060D9">
        <w:t xml:space="preserve"> </w:t>
      </w:r>
      <w:proofErr w:type="spellStart"/>
      <w:r w:rsidR="004060D9" w:rsidRPr="004060D9">
        <w:t>Prevention</w:t>
      </w:r>
      <w:proofErr w:type="spellEnd"/>
      <w:r w:rsidR="004060D9" w:rsidRPr="004060D9">
        <w:t xml:space="preserve"> and Control) z 556 szpitali</w:t>
      </w:r>
      <w:r w:rsidR="004060D9">
        <w:t xml:space="preserve"> z 20 krajów europejskich</w:t>
      </w:r>
      <w:r w:rsidR="004060D9" w:rsidRPr="004060D9">
        <w:t xml:space="preserve"> wykazały 7</w:t>
      </w:r>
      <w:r w:rsidR="00287C37">
        <w:t xml:space="preserve"> </w:t>
      </w:r>
      <w:r w:rsidR="004060D9" w:rsidRPr="004060D9">
        <w:t>711 przypadkó</w:t>
      </w:r>
      <w:r w:rsidR="004060D9">
        <w:t xml:space="preserve">w zakażeń CD w 2016 roku. Autorzy raportu zwracają jednak uwagę na znaczne niedoszacowanie tej liczby ze względu na niską liczbę przeprowadzanych testów oraz na brak odgórnego wymogu zgłaszania takich przypadków </w:t>
      </w:r>
      <w:r w:rsidR="00FE09A5">
        <w:fldChar w:fldCharType="begin"/>
      </w:r>
      <w:r w:rsidR="00287C37">
        <w:instrText xml:space="preserve"> ADDIN ZOTERO_ITEM CSL_CITATION {"citationID":"q45XXYdP","properties":{"formattedCitation":"[4]","plainCitation":"[4]","noteIndex":0},"citationItems":[{"id":1522,"uris":["http://zotero.org/users/local/N7DyqKKL/items/4NQNVFBB"],"uri":["http://zotero.org/users/local/N7DyqKKL/items/4NQNVFBB"],"itemData":{"id":1522,"type":"webpage","abstract":"In 2016, 20 EU/EEA countries reported CDI data to ECDC for 593 surveillance periods from 556 hospitals.","container-title":"European Centre for Disease Prevention and Control","language":"en","title":"Healthcare-associated infections: Clostridium difficile infections - Annual Epidemiological Report for 2016","title-short":"Healthcare-associated infections","URL":"http://ecdc.europa.eu/en/publications-data/healthcare-associated-infections-clostridium-difficile-infections-annual","accessed":{"date-parts":[["2018",12,29]]},"issued":{"date-parts":[["2018",6,20]]}}}],"schema":"https://github.com/citation-style-language/schema/raw/master/csl-citation.json"} </w:instrText>
      </w:r>
      <w:r w:rsidR="00FE09A5">
        <w:fldChar w:fldCharType="separate"/>
      </w:r>
      <w:r w:rsidR="00287C37" w:rsidRPr="00287C37">
        <w:rPr>
          <w:rFonts w:ascii="Calibri" w:hAnsi="Calibri" w:cs="Calibri"/>
        </w:rPr>
        <w:t>[4]</w:t>
      </w:r>
      <w:r w:rsidR="00FE09A5">
        <w:fldChar w:fldCharType="end"/>
      </w:r>
      <w:r w:rsidR="004060D9">
        <w:t xml:space="preserve">. Co więcej, testy są przeprowadzane głównie w szpitalach wysokospecjalistycznych, a do zakażeń dochodzi najczęściej na oddziałach wewnętrznych, geriatrycznych oraz domach opieki. </w:t>
      </w:r>
      <w:r w:rsidR="001A462B">
        <w:t xml:space="preserve">Starsze dane mówią o ponad 120 000 przypadków zakażeń CD w 2011 roku w Europie, z których od 3 do 30% zakończyło się śmiercią pacjenta. </w:t>
      </w:r>
      <w:r w:rsidR="004060D9">
        <w:t xml:space="preserve">Szacuje się, że </w:t>
      </w:r>
      <w:r w:rsidR="00FE09A5">
        <w:t>koszt leczenia pojedynczego pacjenta wynosi około 9 000 euro i jest ściśle uzależniony od czasu jaki pacjent musi dodatkowo spędzić w szpitalu</w:t>
      </w:r>
      <w:r w:rsidR="001A462B">
        <w:t xml:space="preserve"> </w:t>
      </w:r>
      <w:r w:rsidR="001A462B">
        <w:fldChar w:fldCharType="begin"/>
      </w:r>
      <w:r w:rsidR="00287C37">
        <w:instrText xml:space="preserve"> ADDIN ZOTERO_ITEM CSL_CITATION {"citationID":"a57cBqqo","properties":{"formattedCitation":"[5]","plainCitation":"[5]","noteIndex":0},"citationItems":[{"id":3154,"uris":["http://zotero.org/users/local/N7DyqKKL/items/Z26SGURB"],"uri":["http://zotero.org/users/local/N7DyqKKL/items/Z26SGURB"],"itemData":{"id":3154,"type":"article-journal","abstract":"Hospital-acquired infections have not only gained increasing attention clinically, but also methodologically, as a time-varying exposure. While methods to appropriately estimate extra length of stay (LOS) have been established and are increasingly used in the literature, proper estimation of cost figures has lagged behind.","container-title":"Cost Effectiveness and Resource Allocation","DOI":"10.1186/s12962-019-0184-5","ISSN":"1478-7547","issue":"1","journalAbbreviation":"Cost Effectiveness and Resource Allocation","page":"16","source":"BioMed Central","title":"Costs of hospital-acquired Clostridium difficile infections: an analysis on the effect of time-dependent exposures using routine and surveillance data","title-short":"Costs of hospital-acquired Clostridium difficile infections","volume":"17","author":[{"family":"Heister","given":"Thomas"},{"family":"Wolkewitz","given":"Martin"},{"family":"Hehn","given":"Philip"},{"family":"Wolff","given":"Jan"},{"family":"Dettenkofer","given":"Markus"},{"family":"Grundmann","given":"Hajo"},{"family":"Kaier","given":"Klaus"}],"issued":{"date-parts":[["2019",8,1]]}}}],"schema":"https://github.com/citation-style-language/schema/raw/master/csl-citation.json"} </w:instrText>
      </w:r>
      <w:r w:rsidR="001A462B">
        <w:fldChar w:fldCharType="separate"/>
      </w:r>
      <w:r w:rsidR="00287C37" w:rsidRPr="00287C37">
        <w:rPr>
          <w:rFonts w:ascii="Calibri" w:hAnsi="Calibri" w:cs="Calibri"/>
        </w:rPr>
        <w:t>[5]</w:t>
      </w:r>
      <w:r w:rsidR="001A462B">
        <w:fldChar w:fldCharType="end"/>
      </w:r>
      <w:r w:rsidR="00FE09A5">
        <w:t xml:space="preserve">. </w:t>
      </w:r>
    </w:p>
    <w:p w:rsidR="007518DA" w:rsidRDefault="00F37CF4" w:rsidP="007518DA">
      <w:pPr>
        <w:ind w:firstLine="708"/>
        <w:jc w:val="both"/>
      </w:pPr>
      <w:r>
        <w:t xml:space="preserve">Na rynku polskim brak jest leków przeciwko </w:t>
      </w:r>
      <w:proofErr w:type="spellStart"/>
      <w:r w:rsidRPr="001A462B">
        <w:rPr>
          <w:i/>
        </w:rPr>
        <w:t>Clostridioides</w:t>
      </w:r>
      <w:proofErr w:type="spellEnd"/>
      <w:r w:rsidRPr="001A462B">
        <w:rPr>
          <w:i/>
        </w:rPr>
        <w:t xml:space="preserve"> </w:t>
      </w:r>
      <w:proofErr w:type="spellStart"/>
      <w:r w:rsidRPr="001A462B">
        <w:rPr>
          <w:i/>
        </w:rPr>
        <w:t>difficile</w:t>
      </w:r>
      <w:proofErr w:type="spellEnd"/>
      <w:r w:rsidR="001A462B">
        <w:t xml:space="preserve"> innych niż antybiotyki. </w:t>
      </w:r>
      <w:r w:rsidR="000C70D5">
        <w:t>Warto wspomnieć</w:t>
      </w:r>
      <w:r w:rsidR="00B823D6">
        <w:t>, że bakterie CD są oporne na wiele powszechnie stosowanych antybiotyków (</w:t>
      </w:r>
      <w:proofErr w:type="spellStart"/>
      <w:r w:rsidR="00B823D6">
        <w:t>cefalosporyny</w:t>
      </w:r>
      <w:proofErr w:type="spellEnd"/>
      <w:r w:rsidR="00B823D6">
        <w:t xml:space="preserve">, </w:t>
      </w:r>
      <w:proofErr w:type="spellStart"/>
      <w:r w:rsidR="00B823D6">
        <w:t>fluorochinolony</w:t>
      </w:r>
      <w:proofErr w:type="spellEnd"/>
      <w:r w:rsidR="00B823D6">
        <w:t xml:space="preserve">, </w:t>
      </w:r>
      <w:proofErr w:type="spellStart"/>
      <w:r w:rsidR="00B823D6">
        <w:t>karbapenemy</w:t>
      </w:r>
      <w:proofErr w:type="spellEnd"/>
      <w:r w:rsidR="00B823D6">
        <w:t xml:space="preserve">, </w:t>
      </w:r>
      <w:proofErr w:type="spellStart"/>
      <w:r w:rsidR="00B823D6">
        <w:t>klindamycyna</w:t>
      </w:r>
      <w:proofErr w:type="spellEnd"/>
      <w:r w:rsidR="00B823D6">
        <w:t xml:space="preserve">, </w:t>
      </w:r>
      <w:proofErr w:type="spellStart"/>
      <w:r w:rsidR="00B823D6">
        <w:t>monobaktamy</w:t>
      </w:r>
      <w:proofErr w:type="spellEnd"/>
      <w:r w:rsidR="00B823D6">
        <w:t xml:space="preserve">, mniej na makrolity, penicyliny, sulfonamidy i </w:t>
      </w:r>
      <w:proofErr w:type="spellStart"/>
      <w:r w:rsidR="00B823D6">
        <w:t>trimetoprim</w:t>
      </w:r>
      <w:proofErr w:type="spellEnd"/>
      <w:r w:rsidR="00B823D6">
        <w:t xml:space="preserve">), a także względem antybiotyków stosowanych do ich zwalczania </w:t>
      </w:r>
      <w:r w:rsidR="00B823D6">
        <w:fldChar w:fldCharType="begin"/>
      </w:r>
      <w:r w:rsidR="00287C37">
        <w:instrText xml:space="preserve"> ADDIN ZOTERO_ITEM CSL_CITATION {"citationID":"OV2fLkfq","properties":{"formattedCitation":"[6,7]","plainCitation":"[6,7]","noteIndex":0},"citationItems":[{"id":1111,"uris":["http://zotero.org/users/local/N7DyqKKL/items/GSLRPYB8"],"uri":["http://zotero.org/users/local/N7DyqKKL/items/GSLRPYB8"],"itemData":{"id":1111,"type":"article-journal","container-title":"Postępy Nauk Medycznych","issue":"11","title":"Postępy w leczeniu zakażenia Clostridium difficile","URL":"http://www.pnmedycznych.pl/wp-content/uploads/2015/01/pnm_2014_770-775.pdf","volume":"XXVII","author":[{"family":"Bielec","given":"Dariusz"},{"family":"Stempkowska","given":"Justyna"},{"family":"Markiewicz-Zięba","given":"Marta"}],"accessed":{"date-parts":[["2017",8,2]]},"issued":{"date-parts":[["2014"]]}}},{"id":1113,"uris":["http://zotero.org/users/local/N7DyqKKL/items/RG2RLQ2N"],"uri":["http://zotero.org/users/local/N7DyqKKL/items/RG2RLQ2N"],"itemData":{"id":1113,"type":"article-journal","abstract":"Clostridium difficile infection remains a major healthcare burden. Until the recent introduction of fidaxomicin, antimicrobial treatments were limited to metronidazole and vancomycin. The emergence of epidemic C. difficile PCR ribotype 027 and its potential link to decreased antibiotic susceptibility highlight the lack of large-scale antimicrobial susceptibility and epidemiological data available. We report results of epidemiological and antimicrobial susceptibility investigations of C. difficile isolates collected prior to fidaxomicin introduction, establishing important baseline data. Thirty-nine sites in 22 countries submitted a total of 953 C. difficile isolates for PCR ribotyping, toxin testing, and susceptibility testing to metronidazole, vancomycin, fidaxomicin, rifampicin, moxifloxacin, clindamycin, imipenem, chloramphenicol, and tigecycline. Ninety-nine known ribotypes were identified. Ribotypes 027, 014, 001/072, and 078 were most frequently isolated in line with previous European studies. There was no evidence of resistance to fidaxomicin, and reduced susceptibility to metronidazole and vancomycin was also scarce. Rifampicin, moxifloxacin, and clindamycin resistance (13%, 40%, and 50% of total isolates, respectively) were evident in multiple ribotypes. There was a significant correlation between lack of ribotype diversity and greater antimicrobial resistance (measured by cumulative resistance score). Well-known epidemic ribotypes 027 and 001/072 were associated with multiple antimicrobial resistance, but high levels of resistance were also observed, particularly in 018 and closely related emergent ribotype 356 in Italy. This raises the possibility of antimicrobial exposure as the underlying reason for their appearance, and highlights the need for ongoing epidemiological and antimicrobial resistance surveillance.","container-title":"Clinical Microbiology and Infection: The Official Publication of the European Society of Clinical Microbiology and Infectious Diseases","DOI":"10.1016/j.cmi.2014.09.017","ISSN":"1469-0691","issue":"3","journalAbbreviation":"Clin. Microbiol. Infect.","language":"eng","note":"PMID: 25701178","page":"248.e9-248.e16","source":"PubMed","title":"Pan-European longitudinal surveillance of antibiotic resistance among prevalent Clostridium difficile ribotypes","volume":"21","author":[{"family":"Freeman","given":"J."},{"family":"Vernon","given":"J."},{"family":"Morris","given":"K."},{"family":"Nicholson","given":"S."},{"family":"Todhunter","given":"S."},{"family":"Longshaw","given":"C."},{"family":"Wilcox","given":"M. H."},{"literal":"Pan-European Longitudinal Surveillance of Antibiotic Resistance among Prevalent Clostridium difficile Ribotypes' Study Group"}],"issued":{"date-parts":[["2015",3]]}}}],"schema":"https://github.com/citation-style-language/schema/raw/master/csl-citation.json"} </w:instrText>
      </w:r>
      <w:r w:rsidR="00B823D6">
        <w:fldChar w:fldCharType="separate"/>
      </w:r>
      <w:r w:rsidR="00287C37" w:rsidRPr="00287C37">
        <w:rPr>
          <w:rFonts w:ascii="Calibri" w:hAnsi="Calibri" w:cs="Calibri"/>
        </w:rPr>
        <w:t>[6,7]</w:t>
      </w:r>
      <w:r w:rsidR="00B823D6">
        <w:fldChar w:fldCharType="end"/>
      </w:r>
      <w:r w:rsidR="00B823D6">
        <w:t xml:space="preserve">. </w:t>
      </w:r>
      <w:r w:rsidR="001A462B">
        <w:t xml:space="preserve">Nie ma również terapii ani suplementów, które by działały wspomagająco i przyspieszały powrót do zdrowia. </w:t>
      </w:r>
      <w:r w:rsidR="00B823D6">
        <w:t xml:space="preserve">Profilaktyka zakażeń sprowadza się do częstego mycia rąk oraz użycia rękawiczek jednorazowych, co nie do końca wydaje się być skuteczne. </w:t>
      </w:r>
      <w:r w:rsidR="00B823D6" w:rsidRPr="00287C37">
        <w:rPr>
          <w:b/>
        </w:rPr>
        <w:t>Proponowany przez nas produkt działa na zup</w:t>
      </w:r>
      <w:r w:rsidRPr="00287C37">
        <w:rPr>
          <w:b/>
        </w:rPr>
        <w:t xml:space="preserve">ełnie innej zasadzie niż antybiotyki. </w:t>
      </w:r>
      <w:r w:rsidR="00B823D6" w:rsidRPr="00287C37">
        <w:rPr>
          <w:b/>
        </w:rPr>
        <w:t xml:space="preserve">Oparty jest o </w:t>
      </w:r>
      <w:r w:rsidR="00AD0637" w:rsidRPr="00287C37">
        <w:rPr>
          <w:b/>
        </w:rPr>
        <w:t xml:space="preserve">bezpieczne, nietoksyczne </w:t>
      </w:r>
      <w:r w:rsidR="00B823D6" w:rsidRPr="00287C37">
        <w:rPr>
          <w:b/>
        </w:rPr>
        <w:t>p</w:t>
      </w:r>
      <w:r w:rsidRPr="00287C37">
        <w:rPr>
          <w:b/>
        </w:rPr>
        <w:t xml:space="preserve">rzeciwciała </w:t>
      </w:r>
      <w:proofErr w:type="spellStart"/>
      <w:r w:rsidRPr="00287C37">
        <w:rPr>
          <w:b/>
        </w:rPr>
        <w:t>IgY</w:t>
      </w:r>
      <w:proofErr w:type="spellEnd"/>
      <w:r w:rsidRPr="00287C37">
        <w:rPr>
          <w:b/>
        </w:rPr>
        <w:t xml:space="preserve"> izolowane z jaj kur immunizowanych </w:t>
      </w:r>
      <w:proofErr w:type="spellStart"/>
      <w:r w:rsidRPr="00287C37">
        <w:rPr>
          <w:b/>
        </w:rPr>
        <w:t>koniugatem</w:t>
      </w:r>
      <w:proofErr w:type="spellEnd"/>
      <w:r w:rsidRPr="00287C37">
        <w:rPr>
          <w:b/>
        </w:rPr>
        <w:t xml:space="preserve"> </w:t>
      </w:r>
      <w:proofErr w:type="spellStart"/>
      <w:r w:rsidRPr="00287C37">
        <w:rPr>
          <w:b/>
        </w:rPr>
        <w:t>epitopu</w:t>
      </w:r>
      <w:proofErr w:type="spellEnd"/>
      <w:r w:rsidRPr="00287C37">
        <w:rPr>
          <w:b/>
        </w:rPr>
        <w:t xml:space="preserve"> </w:t>
      </w:r>
      <w:r w:rsidR="00B823D6" w:rsidRPr="00287C37">
        <w:rPr>
          <w:b/>
        </w:rPr>
        <w:t xml:space="preserve">specyficznego względem białek zlokalizowanych </w:t>
      </w:r>
      <w:r w:rsidRPr="00287C37">
        <w:rPr>
          <w:b/>
        </w:rPr>
        <w:t>na powierzchni komórki CD.</w:t>
      </w:r>
      <w:r>
        <w:t xml:space="preserve"> Szczepienie kur</w:t>
      </w:r>
      <w:r w:rsidR="00D06134">
        <w:t xml:space="preserve"> (powszechnie dostępne, niski koszt utrzymania)</w:t>
      </w:r>
      <w:r>
        <w:t xml:space="preserve"> konkretnym </w:t>
      </w:r>
      <w:proofErr w:type="spellStart"/>
      <w:r>
        <w:t>epitopem</w:t>
      </w:r>
      <w:proofErr w:type="spellEnd"/>
      <w:r>
        <w:t xml:space="preserve"> powoduje produkcję specyficznych, ochronnych przeciwciał w znacznie większym stężeniu w stosunku do produktó</w:t>
      </w:r>
      <w:r w:rsidR="00B823D6">
        <w:t>w, które otrzymuje się</w:t>
      </w:r>
      <w:r>
        <w:t xml:space="preserve"> na drodze szczepienia całą bakterią.</w:t>
      </w:r>
    </w:p>
    <w:p w:rsidR="007518DA" w:rsidRPr="007518DA" w:rsidRDefault="00287C37" w:rsidP="007518DA">
      <w:r w:rsidRPr="004573A7">
        <w:rPr>
          <w:noProof/>
          <w:sz w:val="24"/>
          <w:lang w:eastAsia="pl-PL"/>
        </w:rPr>
        <w:drawing>
          <wp:anchor distT="0" distB="0" distL="114300" distR="114300" simplePos="0" relativeHeight="251658240" behindDoc="1" locked="0" layoutInCell="1" allowOverlap="1">
            <wp:simplePos x="0" y="0"/>
            <wp:positionH relativeFrom="column">
              <wp:posOffset>671830</wp:posOffset>
            </wp:positionH>
            <wp:positionV relativeFrom="paragraph">
              <wp:posOffset>98425</wp:posOffset>
            </wp:positionV>
            <wp:extent cx="5285740" cy="3122295"/>
            <wp:effectExtent l="0" t="0" r="0" b="1905"/>
            <wp:wrapTight wrapText="bothSides">
              <wp:wrapPolygon edited="0">
                <wp:start x="0" y="0"/>
                <wp:lineTo x="0" y="21481"/>
                <wp:lineTo x="21486" y="21481"/>
                <wp:lineTo x="21486" y="0"/>
                <wp:lineTo x="0" y="0"/>
              </wp:wrapPolygon>
            </wp:wrapTight>
            <wp:docPr id="2" name="Obraz 2" descr="C:\Users\Agnieszka Razim\Desktop\Agnieszka 28.07.2020\grant\TANGO IV\realizacja\preview_2884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gnieszka Razim\Desktop\Agnieszka 28.07.2020\grant\TANGO IV\realizacja\preview_288477.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673" t="7336" b="15948"/>
                    <a:stretch/>
                  </pic:blipFill>
                  <pic:spPr bwMode="auto">
                    <a:xfrm>
                      <a:off x="0" y="0"/>
                      <a:ext cx="5285740" cy="31222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518DA" w:rsidRPr="007518DA" w:rsidRDefault="007518DA" w:rsidP="007518DA"/>
    <w:p w:rsidR="007518DA" w:rsidRPr="007518DA" w:rsidRDefault="007518DA" w:rsidP="007518DA"/>
    <w:p w:rsidR="007518DA" w:rsidRPr="007518DA" w:rsidRDefault="007518DA" w:rsidP="007518DA"/>
    <w:p w:rsidR="007518DA" w:rsidRPr="007518DA" w:rsidRDefault="007518DA" w:rsidP="007518DA"/>
    <w:p w:rsidR="007518DA" w:rsidRPr="007518DA" w:rsidRDefault="007518DA" w:rsidP="007518DA"/>
    <w:p w:rsidR="007518DA" w:rsidRPr="007518DA" w:rsidRDefault="007518DA" w:rsidP="007518DA"/>
    <w:p w:rsidR="007518DA" w:rsidRPr="007518DA" w:rsidRDefault="007518DA" w:rsidP="007518DA"/>
    <w:p w:rsidR="007518DA" w:rsidRPr="007518DA" w:rsidRDefault="007518DA" w:rsidP="007518DA"/>
    <w:p w:rsidR="007518DA" w:rsidRPr="007518DA" w:rsidRDefault="007518DA" w:rsidP="007518DA"/>
    <w:p w:rsidR="007518DA" w:rsidRPr="007518DA" w:rsidRDefault="007518DA" w:rsidP="007518DA"/>
    <w:p w:rsidR="007518DA" w:rsidRPr="007518DA" w:rsidRDefault="007518DA" w:rsidP="007518DA"/>
    <w:p w:rsidR="007518DA" w:rsidRDefault="007518DA" w:rsidP="007518DA"/>
    <w:p w:rsidR="00F37CF4" w:rsidRDefault="001A462B" w:rsidP="000C70D5">
      <w:pPr>
        <w:ind w:firstLine="708"/>
        <w:jc w:val="both"/>
      </w:pPr>
      <w:r>
        <w:lastRenderedPageBreak/>
        <w:t>Nasze badania oparliśmy o</w:t>
      </w:r>
      <w:r w:rsidR="000C70D5">
        <w:t xml:space="preserve"> białka immunoreaktywne zlokalizowane na powierzchni komórki, które zidentyfikowaliśmy za pomocą surowicy trzech grup: pobrana od osób zakażonych CD, sznura pępowinowego i od zdrowych ochotników. Zastosowanie surowicy izolowanej ze sznura pępowinowego to podejście nowatorskie, które pozwoliło nam na określenie </w:t>
      </w:r>
      <w:proofErr w:type="spellStart"/>
      <w:r w:rsidR="000C70D5">
        <w:t>epitopów</w:t>
      </w:r>
      <w:proofErr w:type="spellEnd"/>
      <w:r w:rsidR="000C70D5">
        <w:t xml:space="preserve"> o właściwościach potencjalnie silnie ochronnych. W wyniku naszych działań określiliśmy 4 </w:t>
      </w:r>
      <w:proofErr w:type="spellStart"/>
      <w:r w:rsidR="000C70D5">
        <w:t>epitopy</w:t>
      </w:r>
      <w:proofErr w:type="spellEnd"/>
      <w:r w:rsidR="000C70D5">
        <w:t xml:space="preserve"> z czterech różnych białek CD zlokalizowanych na powierzchni bakterii. </w:t>
      </w:r>
      <w:r w:rsidR="00C42B67">
        <w:t xml:space="preserve">Część z naszych badań została opublikowana w uznanych czasopismach </w:t>
      </w:r>
      <w:r w:rsidR="00C42B67">
        <w:fldChar w:fldCharType="begin"/>
      </w:r>
      <w:r w:rsidR="00287C37">
        <w:instrText xml:space="preserve"> ADDIN ZOTERO_ITEM CSL_CITATION {"citationID":"02fa179B","properties":{"formattedCitation":"[8,9]","plainCitation":"[8,9]","noteIndex":0},"citationItems":[{"id":2280,"uris":["http://zotero.org/users/local/N7DyqKKL/items/TLFJT7R6"],"uri":["http://zotero.org/users/local/N7DyqKKL/items/TLFJT7R6"],"itemData":{"id":2280,"type":"article-journal","abstract":"Clostridioides difficile (CD) cause a severe diarrhea which can lead to pseudomembranous colitis and even patient death. CD infection (CDI) is connected mainly with changes in intestinal microbiota as a consequence of antibiotic treatment. The growing resistance to antibiotics, justifies the search for new methods of combating CD. Despite of ongoing research on the immunity against the pathogen, there is still lack of any reliable vaccine. Most recently, Cwp22, that is a cross-linking enzyme involved in the production of CD peptidoglycan, seems to be a promising target to prevent CDI in high-risk patients. In this paper, the Cwp22 protein polypeptide-specific epitopes were mapped in silico and using PEPSCAN procedure. They were recognized not only by antibodies from CDI patients&amp;rsquo; but also by umbilical cord blood sera. We identified three epitopes 54EFRVAT59, 201KVNGKM206 and 268WQEKNGKKYY277 of Cwp22 protein. Since Cwp22 protein has key functionality and the described above epitopes are also recognized by umbilical cord blood serum, we postulate that they could have important protective properties. In this paper, we propose Cwp22 protein as a good antigen candidate for CDI preventive vaccine. Our results open the possibility to use 54EFRVAT59, 201KVNGKM206 and 268WQEKNGKKYY277, epitopes as suitable anti-CD vaccine antigens.","container-title":"Microorganisms","DOI":"10.3390/microorganisms7110565","issue":"11","language":"en","page":"565","source":"www.mdpi.com","title":"Mapping Epitopes of a Novel Peptidoglycan Cross-Linking Enzyme Cwp22 Recognized by Human Sera Obtained from Patients with Clostridioides difficile Infection and Cord Blood","volume":"7","author":[{"family":"Razim","given":"Agnieszka"},{"family":"Pacyga","given":"Katarzyna"},{"family":"Martirosian","given":"Gajane"},{"family":"Szuba","given":"Andrzej"},{"family":"Gamian","given":"Andrzej"},{"family":"Myc","given":"Andrzej"},{"family":"Górska","given":"Sabina"}],"issued":{"date-parts":[["2019",11]]}}},{"id":3160,"uris":["http://zotero.org/users/local/N7DyqKKL/items/5WPR4GJI"],"uri":["http://zotero.org/users/local/N7DyqKKL/items/5WPR4GJI"],"itemData":{"id":3160,"type":"article-journal","abstract":"Clostridioides difficile (CD) is a Gram-positive pathogen responsible for CD-associated disease (CDAD), which is characterized by symptoms ranging from mild diarrhea to pseudomembranous colitis. This work is an attempt to respond to the need of novel methods for CD infection (CDI) prevention, since the number of CDI cases is still rising. A bioinformatics approach was applied to design twenty-one peptides consisting of in silico predicted linear B-cell and T-cell epitopes of aminopeptidase M24 from CD. These peptides were mapped for epitopes exploiting PEPSCAN procedure and using sera obtained from CD infected patients, umbilical cord blood, and healthy volunteers. Two new CD epitopes, 131KKGIK135 and 184KGTSTHVIT192, were identified and characterized. Immunoreactivity of the synthetic biotinylated 131KKGIK135 epitope was significantly higher compared to 184KGTSTHVIT192 epitope in Enzyme-Linked Immunosorbent Assay (ELISA) with umbilical cord blood and CDI patients&amp;rsquo; sera. Hereafter, the conjugate of bovine serum albumin and epitope 131KKGIK135 was evaluated in vitro on lung epithelial cell line. In vitro, a significant induction of IL-6 by conjugate was observed, thereby we postulate that this new 131KKGIK135 epitope possesses immunostimulating properties suggesting possibility of its use in a vaccine against Clostridioides difficile.","container-title":"Cells","DOI":"10.3390/cells9051146","issue":"5","language":"en","note":"number: 5\npublisher: Multidisciplinary Digital Publishing Institute","page":"1146","source":"www.mdpi.com","title":"The Bioinformatic and In Vitro Studies of Clostridioides Difficile Aminopeptidase M24 Revealed the Immunoreactive KKGIK Peptide","volume":"9","author":[{"family":"Pacyga","given":"Katarzyna"},{"family":"Razim","given":"Agnieszka"},{"family":"Martirosian","given":"Gayane"},{"family":"Aptekorz","given":"Małgorzata"},{"family":"Szuba","given":"Andrzej"},{"family":"Gamian","given":"Andrzej"},{"family":"Myc","given":"Andrzej"},{"family":"Górska","given":"Sabina"}],"issued":{"date-parts":[["2020",5]]}}}],"schema":"https://github.com/citation-style-language/schema/raw/master/csl-citation.json"} </w:instrText>
      </w:r>
      <w:r w:rsidR="00C42B67">
        <w:fldChar w:fldCharType="separate"/>
      </w:r>
      <w:r w:rsidR="00287C37" w:rsidRPr="00287C37">
        <w:rPr>
          <w:rFonts w:ascii="Calibri" w:hAnsi="Calibri" w:cs="Calibri"/>
        </w:rPr>
        <w:t>[8,9]</w:t>
      </w:r>
      <w:r w:rsidR="00C42B67">
        <w:fldChar w:fldCharType="end"/>
      </w:r>
      <w:r w:rsidR="00C42B67">
        <w:t>. Uzyskane</w:t>
      </w:r>
      <w:r w:rsidR="000C70D5">
        <w:t xml:space="preserve"> </w:t>
      </w:r>
      <w:proofErr w:type="spellStart"/>
      <w:r w:rsidR="000C70D5">
        <w:t>epitopy</w:t>
      </w:r>
      <w:proofErr w:type="spellEnd"/>
      <w:r w:rsidR="000C70D5">
        <w:t xml:space="preserve"> posłużyły do przygotowania szczepionki, którą następnie będą immunizowane kury. Z jaj szczepionych kur izolowane są duże ilości </w:t>
      </w:r>
      <w:r w:rsidR="00272E16">
        <w:t xml:space="preserve">specyficznych </w:t>
      </w:r>
      <w:r w:rsidR="000C70D5">
        <w:t xml:space="preserve">przeciwciał </w:t>
      </w:r>
      <w:proofErr w:type="spellStart"/>
      <w:r w:rsidR="000C70D5">
        <w:t>IgY</w:t>
      </w:r>
      <w:proofErr w:type="spellEnd"/>
      <w:r w:rsidR="000C70D5">
        <w:t xml:space="preserve"> (ok.</w:t>
      </w:r>
      <w:r w:rsidR="00272E16">
        <w:t xml:space="preserve"> 10 mg/jajo), znacznie większe niż w przypadku skrwawiania innych zwierząt np. królika </w:t>
      </w:r>
      <w:r w:rsidR="00272E16">
        <w:fldChar w:fldCharType="begin"/>
      </w:r>
      <w:r w:rsidR="00287C37">
        <w:instrText xml:space="preserve"> ADDIN ZOTERO_ITEM CSL_CITATION {"citationID":"UQaCwHxt","properties":{"formattedCitation":"[10]","plainCitation":"[10]","noteIndex":0},"citationItems":[{"id":3157,"uris":["http://zotero.org/users/local/N7DyqKKL/items/HAB9P7SS"],"uri":["http://zotero.org/users/local/N7DyqKKL/items/HAB9P7SS"],"itemData":{"id":3157,"type":"article-journal","abstract":"BACKGROUND: Toxoplasma gondii may cause abortions, ocular and neurological disorders in warm-blood hosts. Immunized mammals are a wide source of hyperimmune sera used in different approaches, including diagnosis and the study of host-parasite interactions. Unfortunately, mammalian antibodies present limitations for its production, such as the necessity for animal bleeding, low yield, interference with rheumatoid factor, complement activation and affinity to Fc mammalian receptors. IgY antibodies avoid those limitations; therefore they could be an alternative to be applied in T. gondii model.\nMETHODOLOGY/PRINCIPAL FINDINGS: In this study we immunized hens with soluble tachyzoite antigens of T. gondii (STAg) and purified egg yolk antibodies (IgY) by an inexpensive and simple method, with high yield and purity degree. IgY anti-STAg antibodies presented high avidity and were able to recognize a broad range of parasite antigens, although some marked differences were observed in reactivity profile between antibodies produced in immunized hens and mice. Interestingly, IgY antibodies against Neospora caninum and Eimeria spp. did not react to STAg. We also show that IgY antibodies were suitable to detect T. gondii forms in paraffin-embedded sections and culture cell monolayers.\nCONCLUSIONS/SIGNIFICANCE: Due to its cost-effectiveness, high production yield and varied range of possible applications, polyclonal IgY antibodies are useful tools for studies involving T. gondii.","container-title":"PloS One","DOI":"10.1371/journal.pone.0040391","ISSN":"1932-6203","issue":"7","journalAbbreviation":"PLoS ONE","language":"eng","note":"PMID: 22808150\nPMCID: PMC3395712","page":"e40391","source":"PubMed","title":"Production, characterization and applications for Toxoplasma gondii-specific polyclonal chicken egg yolk immunoglobulins","volume":"7","author":[{"family":"Ferreira Júnior","given":"Álvaro"},{"family":"Santiago","given":"Fernanda M."},{"family":"Silva","given":"Murilo V."},{"family":"Ferreira","given":"Flávia B."},{"family":"Macêdo Júnior","given":"Arlindo G."},{"family":"Mota","given":"Caroline M."},{"family":"Faria","given":"Matheus S."},{"family":"Silva Filho","given":"Hercílio H."},{"family":"Silva","given":"Deise A. O."},{"family":"Cunha-Júnior","given":"Jair P."},{"family":"Mineo","given":"José R."},{"family":"Mineo","given":"Tiago W. P."}],"issued":{"date-parts":[["2012"]]}}}],"schema":"https://github.com/citation-style-language/schema/raw/master/csl-citation.json"} </w:instrText>
      </w:r>
      <w:r w:rsidR="00272E16">
        <w:fldChar w:fldCharType="separate"/>
      </w:r>
      <w:r w:rsidR="00287C37" w:rsidRPr="00287C37">
        <w:rPr>
          <w:rFonts w:ascii="Calibri" w:hAnsi="Calibri" w:cs="Calibri"/>
        </w:rPr>
        <w:t>[10]</w:t>
      </w:r>
      <w:r w:rsidR="00272E16">
        <w:fldChar w:fldCharType="end"/>
      </w:r>
      <w:r w:rsidR="00272E16">
        <w:t>.</w:t>
      </w:r>
      <w:r w:rsidR="000C70D5">
        <w:t xml:space="preserve"> Dzięki skupieniu się na celach znajdujących się na powierzchni komórki preparat zadziała już na etapie wejścia bakterii do organizm</w:t>
      </w:r>
      <w:r w:rsidR="00287C37">
        <w:t xml:space="preserve">u, zanim jeszcze dojdzie do </w:t>
      </w:r>
      <w:r w:rsidR="000C70D5">
        <w:t xml:space="preserve">namnożenia </w:t>
      </w:r>
      <w:r w:rsidR="00287C37">
        <w:t xml:space="preserve">bakterii </w:t>
      </w:r>
      <w:r w:rsidR="000C70D5">
        <w:t xml:space="preserve">i produkcji niszczących jelito toksyn. </w:t>
      </w:r>
    </w:p>
    <w:p w:rsidR="00272E16" w:rsidRDefault="00272E16" w:rsidP="000C70D5">
      <w:pPr>
        <w:ind w:firstLine="708"/>
        <w:jc w:val="both"/>
      </w:pPr>
    </w:p>
    <w:p w:rsidR="005F04E0" w:rsidRDefault="00886BBB" w:rsidP="005F04E0">
      <w:pPr>
        <w:ind w:firstLine="708"/>
        <w:jc w:val="center"/>
      </w:pPr>
      <w:r w:rsidRPr="00886BBB">
        <w:rPr>
          <w:noProof/>
          <w:lang w:eastAsia="pl-PL"/>
        </w:rPr>
        <w:drawing>
          <wp:inline distT="0" distB="0" distL="0" distR="0">
            <wp:extent cx="4497994" cy="6253617"/>
            <wp:effectExtent l="0" t="0" r="0" b="0"/>
            <wp:docPr id="6" name="Obraz 6" descr="C:\Users\Agnieszka Razim\Desktop\Agnieszka 28.07.2020\grant\TANGO IV\realizacja\preview_2885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gnieszka Razim\Desktop\Agnieszka 28.07.2020\grant\TANGO IV\realizacja\preview_28851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03618" cy="6261437"/>
                    </a:xfrm>
                    <a:prstGeom prst="rect">
                      <a:avLst/>
                    </a:prstGeom>
                    <a:noFill/>
                    <a:ln>
                      <a:noFill/>
                    </a:ln>
                  </pic:spPr>
                </pic:pic>
              </a:graphicData>
            </a:graphic>
          </wp:inline>
        </w:drawing>
      </w:r>
    </w:p>
    <w:p w:rsidR="00C42B67" w:rsidRDefault="00272E16" w:rsidP="00272E16">
      <w:pPr>
        <w:ind w:firstLine="708"/>
        <w:jc w:val="both"/>
      </w:pPr>
      <w:r>
        <w:t xml:space="preserve">Potencjalnymi odbiorcami preparatu mogą być dwie duże grupy osób. Pierwsza, pacjenci przed planowanym zabiegiem w szpitalu, szczególnie osoby powyżej 60 roku życia czy o obniżonej odporności. Druga, osoby już zakażone stosujące preparat wspomagająco w terapii antybiotykowej, co potencjalnie skróci czas trwania kuracji. Nie należy jednak zawężać grup odbiorców ponieważ preparat mógłby być również stosowany zapobiegawczo u osób </w:t>
      </w:r>
      <w:r>
        <w:lastRenderedPageBreak/>
        <w:t>znajdujących się w jednostkach opieki długoterminowej, paliatywnej oraz u osób często stosujących antybio</w:t>
      </w:r>
      <w:r w:rsidR="00287C37">
        <w:t>tyki w </w:t>
      </w:r>
      <w:r w:rsidR="00C42B67">
        <w:t>warunkach domowych.</w:t>
      </w:r>
    </w:p>
    <w:p w:rsidR="007518DA" w:rsidRDefault="00656BB9" w:rsidP="00C42B67">
      <w:pPr>
        <w:ind w:firstLine="708"/>
        <w:jc w:val="both"/>
      </w:pPr>
      <w:r>
        <w:t>P</w:t>
      </w:r>
      <w:r w:rsidR="00C42B67">
        <w:t>roponowany przez nas preparat cechuje się tym, że jest pochodzenia naturalnego przez co je</w:t>
      </w:r>
      <w:r w:rsidR="007C0734">
        <w:t>st bezpieczny. Jego otrzymanie nie jest kosztowne</w:t>
      </w:r>
      <w:r w:rsidR="00C42B67">
        <w:t xml:space="preserve">, a metody </w:t>
      </w:r>
      <w:r w:rsidR="007C0734">
        <w:t xml:space="preserve">produkcji </w:t>
      </w:r>
      <w:r w:rsidR="00C42B67">
        <w:t>powszechnie stosowane. Preparat cechuje się dużo wyższą specyficznością niż preparaty otrzymywane poprzez immunizację kur całą bakterią. Preparat będzie łatwy w stosowaniu w postaci proszku</w:t>
      </w:r>
      <w:r w:rsidR="00287C37">
        <w:t xml:space="preserve"> do rozpuszczenia</w:t>
      </w:r>
      <w:r w:rsidR="00C42B67">
        <w:t xml:space="preserve"> w wodzie</w:t>
      </w:r>
      <w:r w:rsidR="00287C37">
        <w:t xml:space="preserve"> (możliwe inne formy produktu np. granulat, tabletka</w:t>
      </w:r>
      <w:r w:rsidR="00AD0637">
        <w:t>)</w:t>
      </w:r>
      <w:r w:rsidR="00C42B67">
        <w:t xml:space="preserve">. </w:t>
      </w:r>
      <w:r w:rsidR="007C0734">
        <w:t xml:space="preserve">Przeciwciała </w:t>
      </w:r>
      <w:proofErr w:type="spellStart"/>
      <w:r w:rsidR="007C0734">
        <w:t>IgY</w:t>
      </w:r>
      <w:proofErr w:type="spellEnd"/>
      <w:r w:rsidR="007C0734">
        <w:t xml:space="preserve"> są odporne na warunki panujące w układzie pokarmowym przez co nie ma pot</w:t>
      </w:r>
      <w:r w:rsidR="00287C37">
        <w:t>rzeby stosowania wyszukanych</w:t>
      </w:r>
      <w:r w:rsidR="007C0734">
        <w:t xml:space="preserve"> </w:t>
      </w:r>
      <w:proofErr w:type="spellStart"/>
      <w:r w:rsidR="007C0734">
        <w:t>formulacji</w:t>
      </w:r>
      <w:proofErr w:type="spellEnd"/>
      <w:r w:rsidR="007C0734">
        <w:t xml:space="preserve">. Są również odporne na podwyższoną temperaturę więc preparat nie wymaga przechowywania w lodówce. </w:t>
      </w:r>
    </w:p>
    <w:p w:rsidR="00A23E87" w:rsidRDefault="00A23E87" w:rsidP="00A23E87">
      <w:pPr>
        <w:jc w:val="both"/>
      </w:pPr>
      <w:r>
        <w:t>Zespół zaangażowany w projekt:</w:t>
      </w:r>
    </w:p>
    <w:p w:rsidR="00A23E87" w:rsidRDefault="00A23E87" w:rsidP="00A23E87">
      <w:pPr>
        <w:jc w:val="both"/>
      </w:pPr>
      <w:bookmarkStart w:id="0" w:name="_GoBack"/>
      <w:r>
        <w:t xml:space="preserve">Prof. dr hab. Andrzej </w:t>
      </w:r>
      <w:proofErr w:type="spellStart"/>
      <w:r>
        <w:t>Gamian</w:t>
      </w:r>
      <w:proofErr w:type="spellEnd"/>
      <w:r>
        <w:t xml:space="preserve"> – kierownik</w:t>
      </w:r>
    </w:p>
    <w:p w:rsidR="00A23E87" w:rsidRDefault="00A23E87" w:rsidP="00A23E87">
      <w:pPr>
        <w:jc w:val="both"/>
      </w:pPr>
      <w:r>
        <w:t>Dr hab. inż. Sabina Górska</w:t>
      </w:r>
    </w:p>
    <w:p w:rsidR="00A23E87" w:rsidRDefault="00A23E87" w:rsidP="00A23E87">
      <w:pPr>
        <w:jc w:val="both"/>
      </w:pPr>
      <w:r>
        <w:t>Dr Agnieszka Razim</w:t>
      </w:r>
    </w:p>
    <w:p w:rsidR="00A23E87" w:rsidRDefault="00A23E87" w:rsidP="00A23E87">
      <w:pPr>
        <w:jc w:val="both"/>
      </w:pPr>
      <w:r>
        <w:t xml:space="preserve">Mgr Katarzyna </w:t>
      </w:r>
      <w:proofErr w:type="spellStart"/>
      <w:r>
        <w:t>Pacyga</w:t>
      </w:r>
      <w:proofErr w:type="spellEnd"/>
      <w:r>
        <w:t>-Prus</w:t>
      </w:r>
    </w:p>
    <w:p w:rsidR="00A23E87" w:rsidRDefault="00A23E87" w:rsidP="00A23E87">
      <w:pPr>
        <w:jc w:val="both"/>
      </w:pPr>
      <w:r>
        <w:t xml:space="preserve">Mgr inż. Swen Stręk </w:t>
      </w:r>
    </w:p>
    <w:bookmarkEnd w:id="0"/>
    <w:p w:rsidR="00272E16" w:rsidRPr="00287C37" w:rsidRDefault="00272E16" w:rsidP="00272E16">
      <w:pPr>
        <w:ind w:firstLine="708"/>
        <w:jc w:val="both"/>
        <w:rPr>
          <w:sz w:val="16"/>
        </w:rPr>
      </w:pPr>
    </w:p>
    <w:p w:rsidR="00287C37" w:rsidRPr="00287C37" w:rsidRDefault="00FE09A5" w:rsidP="00287C37">
      <w:pPr>
        <w:pStyle w:val="Bibliografia"/>
        <w:rPr>
          <w:rFonts w:ascii="Calibri" w:hAnsi="Calibri" w:cs="Calibri"/>
          <w:sz w:val="16"/>
          <w:lang w:val="en-US"/>
        </w:rPr>
      </w:pPr>
      <w:r w:rsidRPr="00287C37">
        <w:rPr>
          <w:sz w:val="16"/>
        </w:rPr>
        <w:fldChar w:fldCharType="begin"/>
      </w:r>
      <w:r w:rsidRPr="00287C37">
        <w:rPr>
          <w:sz w:val="16"/>
          <w:lang w:val="en-US"/>
        </w:rPr>
        <w:instrText xml:space="preserve"> ADDIN ZOTERO_BIBL {"uncited":[],"omitted":[],"custom":[]} CSL_BIBLIOGRAPHY </w:instrText>
      </w:r>
      <w:r w:rsidRPr="00287C37">
        <w:rPr>
          <w:sz w:val="16"/>
        </w:rPr>
        <w:fldChar w:fldCharType="separate"/>
      </w:r>
      <w:r w:rsidR="00287C37" w:rsidRPr="00287C37">
        <w:rPr>
          <w:rFonts w:ascii="Calibri" w:hAnsi="Calibri" w:cs="Calibri"/>
          <w:sz w:val="16"/>
          <w:lang w:val="en-US"/>
        </w:rPr>
        <w:t xml:space="preserve">1. </w:t>
      </w:r>
      <w:r w:rsidR="00287C37" w:rsidRPr="00287C37">
        <w:rPr>
          <w:rFonts w:ascii="Calibri" w:hAnsi="Calibri" w:cs="Calibri"/>
          <w:sz w:val="16"/>
          <w:lang w:val="en-US"/>
        </w:rPr>
        <w:tab/>
        <w:t xml:space="preserve">Gerding, D.N.; Johnson, S.; Peterson, L.R.; Mulligan, M.E.; Silva, J., Jr Clostridium difficile-associated diarrhea and colitis. </w:t>
      </w:r>
      <w:r w:rsidR="00287C37" w:rsidRPr="00287C37">
        <w:rPr>
          <w:rFonts w:ascii="Calibri" w:hAnsi="Calibri" w:cs="Calibri"/>
          <w:i/>
          <w:iCs/>
          <w:sz w:val="16"/>
          <w:lang w:val="en-US"/>
        </w:rPr>
        <w:t>Infect Control Hosp Epidemiol</w:t>
      </w:r>
      <w:r w:rsidR="00287C37" w:rsidRPr="00287C37">
        <w:rPr>
          <w:rFonts w:ascii="Calibri" w:hAnsi="Calibri" w:cs="Calibri"/>
          <w:sz w:val="16"/>
          <w:lang w:val="en-US"/>
        </w:rPr>
        <w:t xml:space="preserve"> </w:t>
      </w:r>
      <w:r w:rsidR="00287C37" w:rsidRPr="00287C37">
        <w:rPr>
          <w:rFonts w:ascii="Calibri" w:hAnsi="Calibri" w:cs="Calibri"/>
          <w:b/>
          <w:bCs/>
          <w:sz w:val="16"/>
          <w:lang w:val="en-US"/>
        </w:rPr>
        <w:t>1995</w:t>
      </w:r>
      <w:r w:rsidR="00287C37" w:rsidRPr="00287C37">
        <w:rPr>
          <w:rFonts w:ascii="Calibri" w:hAnsi="Calibri" w:cs="Calibri"/>
          <w:sz w:val="16"/>
          <w:lang w:val="en-US"/>
        </w:rPr>
        <w:t xml:space="preserve">, </w:t>
      </w:r>
      <w:r w:rsidR="00287C37" w:rsidRPr="00287C37">
        <w:rPr>
          <w:rFonts w:ascii="Calibri" w:hAnsi="Calibri" w:cs="Calibri"/>
          <w:i/>
          <w:iCs/>
          <w:sz w:val="16"/>
          <w:lang w:val="en-US"/>
        </w:rPr>
        <w:t>16</w:t>
      </w:r>
      <w:r w:rsidR="00287C37" w:rsidRPr="00287C37">
        <w:rPr>
          <w:rFonts w:ascii="Calibri" w:hAnsi="Calibri" w:cs="Calibri"/>
          <w:sz w:val="16"/>
          <w:lang w:val="en-US"/>
        </w:rPr>
        <w:t>, 459–477.</w:t>
      </w:r>
    </w:p>
    <w:p w:rsidR="00287C37" w:rsidRPr="00287C37" w:rsidRDefault="00287C37" w:rsidP="00287C37">
      <w:pPr>
        <w:pStyle w:val="Bibliografia"/>
        <w:rPr>
          <w:rFonts w:ascii="Calibri" w:hAnsi="Calibri" w:cs="Calibri"/>
          <w:sz w:val="16"/>
          <w:lang w:val="en-US"/>
        </w:rPr>
      </w:pPr>
      <w:r w:rsidRPr="00287C37">
        <w:rPr>
          <w:rFonts w:ascii="Calibri" w:hAnsi="Calibri" w:cs="Calibri"/>
          <w:sz w:val="16"/>
          <w:lang w:val="en-US"/>
        </w:rPr>
        <w:t xml:space="preserve">2. </w:t>
      </w:r>
      <w:r w:rsidRPr="00287C37">
        <w:rPr>
          <w:rFonts w:ascii="Calibri" w:hAnsi="Calibri" w:cs="Calibri"/>
          <w:sz w:val="16"/>
          <w:lang w:val="en-US"/>
        </w:rPr>
        <w:tab/>
        <w:t xml:space="preserve">Pépin, J.; Routhier, S.; Gagnon, S.; Brazeau, I. Management and outcomes of a first recurrence of Clostridium difficile-associated disease in Quebec, Canada. </w:t>
      </w:r>
      <w:r w:rsidRPr="00287C37">
        <w:rPr>
          <w:rFonts w:ascii="Calibri" w:hAnsi="Calibri" w:cs="Calibri"/>
          <w:i/>
          <w:iCs/>
          <w:sz w:val="16"/>
          <w:lang w:val="en-US"/>
        </w:rPr>
        <w:t>Clin. Infect. Dis.</w:t>
      </w:r>
      <w:r w:rsidRPr="00287C37">
        <w:rPr>
          <w:rFonts w:ascii="Calibri" w:hAnsi="Calibri" w:cs="Calibri"/>
          <w:sz w:val="16"/>
          <w:lang w:val="en-US"/>
        </w:rPr>
        <w:t xml:space="preserve"> </w:t>
      </w:r>
      <w:r w:rsidRPr="00287C37">
        <w:rPr>
          <w:rFonts w:ascii="Calibri" w:hAnsi="Calibri" w:cs="Calibri"/>
          <w:b/>
          <w:bCs/>
          <w:sz w:val="16"/>
          <w:lang w:val="en-US"/>
        </w:rPr>
        <w:t>2006</w:t>
      </w:r>
      <w:r w:rsidRPr="00287C37">
        <w:rPr>
          <w:rFonts w:ascii="Calibri" w:hAnsi="Calibri" w:cs="Calibri"/>
          <w:sz w:val="16"/>
          <w:lang w:val="en-US"/>
        </w:rPr>
        <w:t xml:space="preserve">, </w:t>
      </w:r>
      <w:r w:rsidRPr="00287C37">
        <w:rPr>
          <w:rFonts w:ascii="Calibri" w:hAnsi="Calibri" w:cs="Calibri"/>
          <w:i/>
          <w:iCs/>
          <w:sz w:val="16"/>
          <w:lang w:val="en-US"/>
        </w:rPr>
        <w:t>42</w:t>
      </w:r>
      <w:r w:rsidRPr="00287C37">
        <w:rPr>
          <w:rFonts w:ascii="Calibri" w:hAnsi="Calibri" w:cs="Calibri"/>
          <w:sz w:val="16"/>
          <w:lang w:val="en-US"/>
        </w:rPr>
        <w:t>, 758–764, doi:10.1086/501126.</w:t>
      </w:r>
    </w:p>
    <w:p w:rsidR="00287C37" w:rsidRPr="00287C37" w:rsidRDefault="00287C37" w:rsidP="00287C37">
      <w:pPr>
        <w:pStyle w:val="Bibliografia"/>
        <w:rPr>
          <w:rFonts w:ascii="Calibri" w:hAnsi="Calibri" w:cs="Calibri"/>
          <w:sz w:val="16"/>
          <w:lang w:val="en-US"/>
        </w:rPr>
      </w:pPr>
      <w:r w:rsidRPr="00287C37">
        <w:rPr>
          <w:rFonts w:ascii="Calibri" w:hAnsi="Calibri" w:cs="Calibri"/>
          <w:sz w:val="16"/>
          <w:lang w:val="en-US"/>
        </w:rPr>
        <w:t xml:space="preserve">3. </w:t>
      </w:r>
      <w:r w:rsidRPr="00287C37">
        <w:rPr>
          <w:rFonts w:ascii="Calibri" w:hAnsi="Calibri" w:cs="Calibri"/>
          <w:sz w:val="16"/>
          <w:lang w:val="en-US"/>
        </w:rPr>
        <w:tab/>
        <w:t xml:space="preserve">McFarland, L.V.; Elmer, G.W.; Surawicz, C.M. Breaking the cycle: treatment strategies for 163 cases of recurrent Clostridium difficile disease. </w:t>
      </w:r>
      <w:r w:rsidRPr="00287C37">
        <w:rPr>
          <w:rFonts w:ascii="Calibri" w:hAnsi="Calibri" w:cs="Calibri"/>
          <w:i/>
          <w:iCs/>
          <w:sz w:val="16"/>
          <w:lang w:val="en-US"/>
        </w:rPr>
        <w:t>Am. J. Gastroenterol.</w:t>
      </w:r>
      <w:r w:rsidRPr="00287C37">
        <w:rPr>
          <w:rFonts w:ascii="Calibri" w:hAnsi="Calibri" w:cs="Calibri"/>
          <w:sz w:val="16"/>
          <w:lang w:val="en-US"/>
        </w:rPr>
        <w:t xml:space="preserve"> </w:t>
      </w:r>
      <w:r w:rsidRPr="00287C37">
        <w:rPr>
          <w:rFonts w:ascii="Calibri" w:hAnsi="Calibri" w:cs="Calibri"/>
          <w:b/>
          <w:bCs/>
          <w:sz w:val="16"/>
          <w:lang w:val="en-US"/>
        </w:rPr>
        <w:t>2002</w:t>
      </w:r>
      <w:r w:rsidRPr="00287C37">
        <w:rPr>
          <w:rFonts w:ascii="Calibri" w:hAnsi="Calibri" w:cs="Calibri"/>
          <w:sz w:val="16"/>
          <w:lang w:val="en-US"/>
        </w:rPr>
        <w:t xml:space="preserve">, </w:t>
      </w:r>
      <w:r w:rsidRPr="00287C37">
        <w:rPr>
          <w:rFonts w:ascii="Calibri" w:hAnsi="Calibri" w:cs="Calibri"/>
          <w:i/>
          <w:iCs/>
          <w:sz w:val="16"/>
          <w:lang w:val="en-US"/>
        </w:rPr>
        <w:t>97</w:t>
      </w:r>
      <w:r w:rsidRPr="00287C37">
        <w:rPr>
          <w:rFonts w:ascii="Calibri" w:hAnsi="Calibri" w:cs="Calibri"/>
          <w:sz w:val="16"/>
          <w:lang w:val="en-US"/>
        </w:rPr>
        <w:t>, 1769–1775, doi:10.1111/j.1572-0241.2002.05839.x.</w:t>
      </w:r>
    </w:p>
    <w:p w:rsidR="00287C37" w:rsidRPr="00287C37" w:rsidRDefault="00287C37" w:rsidP="00287C37">
      <w:pPr>
        <w:pStyle w:val="Bibliografia"/>
        <w:rPr>
          <w:rFonts w:ascii="Calibri" w:hAnsi="Calibri" w:cs="Calibri"/>
          <w:sz w:val="16"/>
          <w:lang w:val="en-US"/>
        </w:rPr>
      </w:pPr>
      <w:r w:rsidRPr="00287C37">
        <w:rPr>
          <w:rFonts w:ascii="Calibri" w:hAnsi="Calibri" w:cs="Calibri"/>
          <w:sz w:val="16"/>
          <w:lang w:val="en-US"/>
        </w:rPr>
        <w:t xml:space="preserve">4. </w:t>
      </w:r>
      <w:r w:rsidRPr="00287C37">
        <w:rPr>
          <w:rFonts w:ascii="Calibri" w:hAnsi="Calibri" w:cs="Calibri"/>
          <w:sz w:val="16"/>
          <w:lang w:val="en-US"/>
        </w:rPr>
        <w:tab/>
        <w:t>Healthcare-associated infections: Clostridium difficile infections - Annual Epidemiological Report for 2016 Available online: http://ecdc.europa.eu/en/publications-data/healthcare-associated-infections-clostridium-difficile-infections-annual (accessed on Dec 29, 2018).</w:t>
      </w:r>
    </w:p>
    <w:p w:rsidR="00287C37" w:rsidRPr="00287C37" w:rsidRDefault="00287C37" w:rsidP="00287C37">
      <w:pPr>
        <w:pStyle w:val="Bibliografia"/>
        <w:rPr>
          <w:rFonts w:ascii="Calibri" w:hAnsi="Calibri" w:cs="Calibri"/>
          <w:sz w:val="16"/>
          <w:lang w:val="en-US"/>
        </w:rPr>
      </w:pPr>
      <w:r w:rsidRPr="00287C37">
        <w:rPr>
          <w:rFonts w:ascii="Calibri" w:hAnsi="Calibri" w:cs="Calibri"/>
          <w:sz w:val="16"/>
          <w:lang w:val="en-US"/>
        </w:rPr>
        <w:t xml:space="preserve">5. </w:t>
      </w:r>
      <w:r w:rsidRPr="00287C37">
        <w:rPr>
          <w:rFonts w:ascii="Calibri" w:hAnsi="Calibri" w:cs="Calibri"/>
          <w:sz w:val="16"/>
          <w:lang w:val="en-US"/>
        </w:rPr>
        <w:tab/>
        <w:t xml:space="preserve">Heister, T.; Wolkewitz, M.; Hehn, P.; Wolff, J.; Dettenkofer, M.; Grundmann, H.; Kaier, K. Costs of hospital-acquired Clostridium difficile infections: an analysis on the effect of time-dependent exposures using routine and surveillance data. </w:t>
      </w:r>
      <w:r w:rsidRPr="00287C37">
        <w:rPr>
          <w:rFonts w:ascii="Calibri" w:hAnsi="Calibri" w:cs="Calibri"/>
          <w:i/>
          <w:iCs/>
          <w:sz w:val="16"/>
          <w:lang w:val="en-US"/>
        </w:rPr>
        <w:t>Cost Effectiveness and Resource Allocation</w:t>
      </w:r>
      <w:r w:rsidRPr="00287C37">
        <w:rPr>
          <w:rFonts w:ascii="Calibri" w:hAnsi="Calibri" w:cs="Calibri"/>
          <w:sz w:val="16"/>
          <w:lang w:val="en-US"/>
        </w:rPr>
        <w:t xml:space="preserve"> </w:t>
      </w:r>
      <w:r w:rsidRPr="00287C37">
        <w:rPr>
          <w:rFonts w:ascii="Calibri" w:hAnsi="Calibri" w:cs="Calibri"/>
          <w:b/>
          <w:bCs/>
          <w:sz w:val="16"/>
          <w:lang w:val="en-US"/>
        </w:rPr>
        <w:t>2019</w:t>
      </w:r>
      <w:r w:rsidRPr="00287C37">
        <w:rPr>
          <w:rFonts w:ascii="Calibri" w:hAnsi="Calibri" w:cs="Calibri"/>
          <w:sz w:val="16"/>
          <w:lang w:val="en-US"/>
        </w:rPr>
        <w:t xml:space="preserve">, </w:t>
      </w:r>
      <w:r w:rsidRPr="00287C37">
        <w:rPr>
          <w:rFonts w:ascii="Calibri" w:hAnsi="Calibri" w:cs="Calibri"/>
          <w:i/>
          <w:iCs/>
          <w:sz w:val="16"/>
          <w:lang w:val="en-US"/>
        </w:rPr>
        <w:t>17</w:t>
      </w:r>
      <w:r w:rsidRPr="00287C37">
        <w:rPr>
          <w:rFonts w:ascii="Calibri" w:hAnsi="Calibri" w:cs="Calibri"/>
          <w:sz w:val="16"/>
          <w:lang w:val="en-US"/>
        </w:rPr>
        <w:t>, 16, doi:10.1186/s12962-019-0184-5.</w:t>
      </w:r>
    </w:p>
    <w:p w:rsidR="00287C37" w:rsidRPr="00287C37" w:rsidRDefault="00287C37" w:rsidP="00287C37">
      <w:pPr>
        <w:pStyle w:val="Bibliografia"/>
        <w:rPr>
          <w:rFonts w:ascii="Calibri" w:hAnsi="Calibri" w:cs="Calibri"/>
          <w:sz w:val="16"/>
          <w:lang w:val="en-US"/>
        </w:rPr>
      </w:pPr>
      <w:r w:rsidRPr="00287C37">
        <w:rPr>
          <w:rFonts w:ascii="Calibri" w:hAnsi="Calibri" w:cs="Calibri"/>
          <w:sz w:val="16"/>
          <w:lang w:val="en-US"/>
        </w:rPr>
        <w:t xml:space="preserve">6. </w:t>
      </w:r>
      <w:r w:rsidRPr="00287C37">
        <w:rPr>
          <w:rFonts w:ascii="Calibri" w:hAnsi="Calibri" w:cs="Calibri"/>
          <w:sz w:val="16"/>
          <w:lang w:val="en-US"/>
        </w:rPr>
        <w:tab/>
        <w:t xml:space="preserve">Bielec, D.; Stempkowska, J.; Markiewicz-Zięba, M. Postępy w leczeniu zakażenia Clostridium difficile. </w:t>
      </w:r>
      <w:r w:rsidRPr="00287C37">
        <w:rPr>
          <w:rFonts w:ascii="Calibri" w:hAnsi="Calibri" w:cs="Calibri"/>
          <w:i/>
          <w:iCs/>
          <w:sz w:val="16"/>
          <w:lang w:val="en-US"/>
        </w:rPr>
        <w:t>Postępy Nauk Medycznych</w:t>
      </w:r>
      <w:r w:rsidRPr="00287C37">
        <w:rPr>
          <w:rFonts w:ascii="Calibri" w:hAnsi="Calibri" w:cs="Calibri"/>
          <w:sz w:val="16"/>
          <w:lang w:val="en-US"/>
        </w:rPr>
        <w:t xml:space="preserve"> </w:t>
      </w:r>
      <w:r w:rsidRPr="00287C37">
        <w:rPr>
          <w:rFonts w:ascii="Calibri" w:hAnsi="Calibri" w:cs="Calibri"/>
          <w:b/>
          <w:bCs/>
          <w:sz w:val="16"/>
          <w:lang w:val="en-US"/>
        </w:rPr>
        <w:t>2014</w:t>
      </w:r>
      <w:r w:rsidRPr="00287C37">
        <w:rPr>
          <w:rFonts w:ascii="Calibri" w:hAnsi="Calibri" w:cs="Calibri"/>
          <w:sz w:val="16"/>
          <w:lang w:val="en-US"/>
        </w:rPr>
        <w:t xml:space="preserve">, </w:t>
      </w:r>
      <w:r w:rsidRPr="00287C37">
        <w:rPr>
          <w:rFonts w:ascii="Calibri" w:hAnsi="Calibri" w:cs="Calibri"/>
          <w:i/>
          <w:iCs/>
          <w:sz w:val="16"/>
          <w:lang w:val="en-US"/>
        </w:rPr>
        <w:t>XXVII</w:t>
      </w:r>
      <w:r w:rsidRPr="00287C37">
        <w:rPr>
          <w:rFonts w:ascii="Calibri" w:hAnsi="Calibri" w:cs="Calibri"/>
          <w:sz w:val="16"/>
          <w:lang w:val="en-US"/>
        </w:rPr>
        <w:t>.</w:t>
      </w:r>
    </w:p>
    <w:p w:rsidR="00287C37" w:rsidRPr="00287C37" w:rsidRDefault="00287C37" w:rsidP="00287C37">
      <w:pPr>
        <w:pStyle w:val="Bibliografia"/>
        <w:rPr>
          <w:rFonts w:ascii="Calibri" w:hAnsi="Calibri" w:cs="Calibri"/>
          <w:sz w:val="16"/>
          <w:lang w:val="en-US"/>
        </w:rPr>
      </w:pPr>
      <w:r w:rsidRPr="00287C37">
        <w:rPr>
          <w:rFonts w:ascii="Calibri" w:hAnsi="Calibri" w:cs="Calibri"/>
          <w:sz w:val="16"/>
          <w:lang w:val="en-US"/>
        </w:rPr>
        <w:t xml:space="preserve">7. </w:t>
      </w:r>
      <w:r w:rsidRPr="00287C37">
        <w:rPr>
          <w:rFonts w:ascii="Calibri" w:hAnsi="Calibri" w:cs="Calibri"/>
          <w:sz w:val="16"/>
          <w:lang w:val="en-US"/>
        </w:rPr>
        <w:tab/>
        <w:t xml:space="preserve">Freeman, J.; Vernon, J.; Morris, K.; Nicholson, S.; Todhunter, S.; Longshaw, C.; Wilcox, M.H.; Pan-European Longitudinal Surveillance of Antibiotic Resistance among Prevalent Clostridium difficile Ribotypes’ Study Group Pan-European longitudinal surveillance of antibiotic resistance among prevalent Clostridium difficile ribotypes. </w:t>
      </w:r>
      <w:r w:rsidRPr="00287C37">
        <w:rPr>
          <w:rFonts w:ascii="Calibri" w:hAnsi="Calibri" w:cs="Calibri"/>
          <w:i/>
          <w:iCs/>
          <w:sz w:val="16"/>
          <w:lang w:val="en-US"/>
        </w:rPr>
        <w:t>Clin. Microbiol. Infect.</w:t>
      </w:r>
      <w:r w:rsidRPr="00287C37">
        <w:rPr>
          <w:rFonts w:ascii="Calibri" w:hAnsi="Calibri" w:cs="Calibri"/>
          <w:sz w:val="16"/>
          <w:lang w:val="en-US"/>
        </w:rPr>
        <w:t xml:space="preserve"> </w:t>
      </w:r>
      <w:r w:rsidRPr="00287C37">
        <w:rPr>
          <w:rFonts w:ascii="Calibri" w:hAnsi="Calibri" w:cs="Calibri"/>
          <w:b/>
          <w:bCs/>
          <w:sz w:val="16"/>
          <w:lang w:val="en-US"/>
        </w:rPr>
        <w:t>2015</w:t>
      </w:r>
      <w:r w:rsidRPr="00287C37">
        <w:rPr>
          <w:rFonts w:ascii="Calibri" w:hAnsi="Calibri" w:cs="Calibri"/>
          <w:sz w:val="16"/>
          <w:lang w:val="en-US"/>
        </w:rPr>
        <w:t xml:space="preserve">, </w:t>
      </w:r>
      <w:r w:rsidRPr="00287C37">
        <w:rPr>
          <w:rFonts w:ascii="Calibri" w:hAnsi="Calibri" w:cs="Calibri"/>
          <w:i/>
          <w:iCs/>
          <w:sz w:val="16"/>
          <w:lang w:val="en-US"/>
        </w:rPr>
        <w:t>21</w:t>
      </w:r>
      <w:r w:rsidRPr="00287C37">
        <w:rPr>
          <w:rFonts w:ascii="Calibri" w:hAnsi="Calibri" w:cs="Calibri"/>
          <w:sz w:val="16"/>
          <w:lang w:val="en-US"/>
        </w:rPr>
        <w:t>, 248.e9-248.e16, doi:10.1016/j.cmi.2014.09.017.</w:t>
      </w:r>
    </w:p>
    <w:p w:rsidR="00287C37" w:rsidRPr="00287C37" w:rsidRDefault="00287C37" w:rsidP="00287C37">
      <w:pPr>
        <w:pStyle w:val="Bibliografia"/>
        <w:rPr>
          <w:rFonts w:ascii="Calibri" w:hAnsi="Calibri" w:cs="Calibri"/>
          <w:sz w:val="16"/>
          <w:lang w:val="en-US"/>
        </w:rPr>
      </w:pPr>
      <w:r w:rsidRPr="00287C37">
        <w:rPr>
          <w:rFonts w:ascii="Calibri" w:hAnsi="Calibri" w:cs="Calibri"/>
          <w:sz w:val="16"/>
          <w:lang w:val="en-US"/>
        </w:rPr>
        <w:t xml:space="preserve">8. </w:t>
      </w:r>
      <w:r w:rsidRPr="00287C37">
        <w:rPr>
          <w:rFonts w:ascii="Calibri" w:hAnsi="Calibri" w:cs="Calibri"/>
          <w:sz w:val="16"/>
          <w:lang w:val="en-US"/>
        </w:rPr>
        <w:tab/>
        <w:t xml:space="preserve">Razim, A.; Pacyga, K.; Martirosian, G.; Szuba, A.; Gamian, A.; Myc, A.; Górska, S. Mapping Epitopes of a Novel Peptidoglycan Cross-Linking Enzyme Cwp22 Recognized by Human Sera Obtained from Patients with Clostridioides difficile Infection and Cord Blood. </w:t>
      </w:r>
      <w:r w:rsidRPr="00287C37">
        <w:rPr>
          <w:rFonts w:ascii="Calibri" w:hAnsi="Calibri" w:cs="Calibri"/>
          <w:i/>
          <w:iCs/>
          <w:sz w:val="16"/>
          <w:lang w:val="en-US"/>
        </w:rPr>
        <w:t>Microorganisms</w:t>
      </w:r>
      <w:r w:rsidRPr="00287C37">
        <w:rPr>
          <w:rFonts w:ascii="Calibri" w:hAnsi="Calibri" w:cs="Calibri"/>
          <w:sz w:val="16"/>
          <w:lang w:val="en-US"/>
        </w:rPr>
        <w:t xml:space="preserve"> </w:t>
      </w:r>
      <w:r w:rsidRPr="00287C37">
        <w:rPr>
          <w:rFonts w:ascii="Calibri" w:hAnsi="Calibri" w:cs="Calibri"/>
          <w:b/>
          <w:bCs/>
          <w:sz w:val="16"/>
          <w:lang w:val="en-US"/>
        </w:rPr>
        <w:t>2019</w:t>
      </w:r>
      <w:r w:rsidRPr="00287C37">
        <w:rPr>
          <w:rFonts w:ascii="Calibri" w:hAnsi="Calibri" w:cs="Calibri"/>
          <w:sz w:val="16"/>
          <w:lang w:val="en-US"/>
        </w:rPr>
        <w:t xml:space="preserve">, </w:t>
      </w:r>
      <w:r w:rsidRPr="00287C37">
        <w:rPr>
          <w:rFonts w:ascii="Calibri" w:hAnsi="Calibri" w:cs="Calibri"/>
          <w:i/>
          <w:iCs/>
          <w:sz w:val="16"/>
          <w:lang w:val="en-US"/>
        </w:rPr>
        <w:t>7</w:t>
      </w:r>
      <w:r w:rsidRPr="00287C37">
        <w:rPr>
          <w:rFonts w:ascii="Calibri" w:hAnsi="Calibri" w:cs="Calibri"/>
          <w:sz w:val="16"/>
          <w:lang w:val="en-US"/>
        </w:rPr>
        <w:t>, 565, doi:10.3390/microorganisms7110565.</w:t>
      </w:r>
    </w:p>
    <w:p w:rsidR="00287C37" w:rsidRPr="00287C37" w:rsidRDefault="00287C37" w:rsidP="00287C37">
      <w:pPr>
        <w:pStyle w:val="Bibliografia"/>
        <w:rPr>
          <w:rFonts w:ascii="Calibri" w:hAnsi="Calibri" w:cs="Calibri"/>
          <w:sz w:val="16"/>
          <w:lang w:val="en-US"/>
        </w:rPr>
      </w:pPr>
      <w:r w:rsidRPr="00287C37">
        <w:rPr>
          <w:rFonts w:ascii="Calibri" w:hAnsi="Calibri" w:cs="Calibri"/>
          <w:sz w:val="16"/>
          <w:lang w:val="en-US"/>
        </w:rPr>
        <w:t xml:space="preserve">9. </w:t>
      </w:r>
      <w:r w:rsidRPr="00287C37">
        <w:rPr>
          <w:rFonts w:ascii="Calibri" w:hAnsi="Calibri" w:cs="Calibri"/>
          <w:sz w:val="16"/>
          <w:lang w:val="en-US"/>
        </w:rPr>
        <w:tab/>
        <w:t xml:space="preserve">Pacyga, K.; Razim, A.; Martirosian, G.; Aptekorz, M.; Szuba, A.; Gamian, A.; Myc, A.; Górska, S. The Bioinformatic and In Vitro Studies of Clostridioides Difficile Aminopeptidase M24 Revealed the Immunoreactive KKGIK Peptide. </w:t>
      </w:r>
      <w:r w:rsidRPr="00287C37">
        <w:rPr>
          <w:rFonts w:ascii="Calibri" w:hAnsi="Calibri" w:cs="Calibri"/>
          <w:i/>
          <w:iCs/>
          <w:sz w:val="16"/>
          <w:lang w:val="en-US"/>
        </w:rPr>
        <w:t>Cells</w:t>
      </w:r>
      <w:r w:rsidRPr="00287C37">
        <w:rPr>
          <w:rFonts w:ascii="Calibri" w:hAnsi="Calibri" w:cs="Calibri"/>
          <w:sz w:val="16"/>
          <w:lang w:val="en-US"/>
        </w:rPr>
        <w:t xml:space="preserve"> </w:t>
      </w:r>
      <w:r w:rsidRPr="00287C37">
        <w:rPr>
          <w:rFonts w:ascii="Calibri" w:hAnsi="Calibri" w:cs="Calibri"/>
          <w:b/>
          <w:bCs/>
          <w:sz w:val="16"/>
          <w:lang w:val="en-US"/>
        </w:rPr>
        <w:t>2020</w:t>
      </w:r>
      <w:r w:rsidRPr="00287C37">
        <w:rPr>
          <w:rFonts w:ascii="Calibri" w:hAnsi="Calibri" w:cs="Calibri"/>
          <w:sz w:val="16"/>
          <w:lang w:val="en-US"/>
        </w:rPr>
        <w:t xml:space="preserve">, </w:t>
      </w:r>
      <w:r w:rsidRPr="00287C37">
        <w:rPr>
          <w:rFonts w:ascii="Calibri" w:hAnsi="Calibri" w:cs="Calibri"/>
          <w:i/>
          <w:iCs/>
          <w:sz w:val="16"/>
          <w:lang w:val="en-US"/>
        </w:rPr>
        <w:t>9</w:t>
      </w:r>
      <w:r w:rsidRPr="00287C37">
        <w:rPr>
          <w:rFonts w:ascii="Calibri" w:hAnsi="Calibri" w:cs="Calibri"/>
          <w:sz w:val="16"/>
          <w:lang w:val="en-US"/>
        </w:rPr>
        <w:t>, 1146, doi:10.3390/cells9051146.</w:t>
      </w:r>
    </w:p>
    <w:p w:rsidR="00287C37" w:rsidRPr="00287C37" w:rsidRDefault="00287C37" w:rsidP="00287C37">
      <w:pPr>
        <w:pStyle w:val="Bibliografia"/>
        <w:rPr>
          <w:rFonts w:ascii="Calibri" w:hAnsi="Calibri" w:cs="Calibri"/>
          <w:sz w:val="16"/>
        </w:rPr>
      </w:pPr>
      <w:r w:rsidRPr="00287C37">
        <w:rPr>
          <w:rFonts w:ascii="Calibri" w:hAnsi="Calibri" w:cs="Calibri"/>
          <w:sz w:val="16"/>
          <w:lang w:val="en-US"/>
        </w:rPr>
        <w:t xml:space="preserve">10. </w:t>
      </w:r>
      <w:r w:rsidRPr="00287C37">
        <w:rPr>
          <w:rFonts w:ascii="Calibri" w:hAnsi="Calibri" w:cs="Calibri"/>
          <w:sz w:val="16"/>
          <w:lang w:val="en-US"/>
        </w:rPr>
        <w:tab/>
        <w:t xml:space="preserve">Ferreira Júnior, Á.; Santiago, F.M.; Silva, M.V.; Ferreira, F.B.; Macêdo Júnior, A.G.; Mota, C.M.; Faria, M.S.; Silva Filho, H.H.; Silva, D.A.O.; Cunha-Júnior, J.P.; et al. Production, characterization and applications for Toxoplasma gondii-specific polyclonal chicken egg yolk immunoglobulins. </w:t>
      </w:r>
      <w:r w:rsidRPr="00287C37">
        <w:rPr>
          <w:rFonts w:ascii="Calibri" w:hAnsi="Calibri" w:cs="Calibri"/>
          <w:i/>
          <w:iCs/>
          <w:sz w:val="16"/>
        </w:rPr>
        <w:t>PLoS ONE</w:t>
      </w:r>
      <w:r w:rsidRPr="00287C37">
        <w:rPr>
          <w:rFonts w:ascii="Calibri" w:hAnsi="Calibri" w:cs="Calibri"/>
          <w:sz w:val="16"/>
        </w:rPr>
        <w:t xml:space="preserve"> </w:t>
      </w:r>
      <w:r w:rsidRPr="00287C37">
        <w:rPr>
          <w:rFonts w:ascii="Calibri" w:hAnsi="Calibri" w:cs="Calibri"/>
          <w:b/>
          <w:bCs/>
          <w:sz w:val="16"/>
        </w:rPr>
        <w:t>2012</w:t>
      </w:r>
      <w:r w:rsidRPr="00287C37">
        <w:rPr>
          <w:rFonts w:ascii="Calibri" w:hAnsi="Calibri" w:cs="Calibri"/>
          <w:sz w:val="16"/>
        </w:rPr>
        <w:t xml:space="preserve">, </w:t>
      </w:r>
      <w:r w:rsidRPr="00287C37">
        <w:rPr>
          <w:rFonts w:ascii="Calibri" w:hAnsi="Calibri" w:cs="Calibri"/>
          <w:i/>
          <w:iCs/>
          <w:sz w:val="16"/>
        </w:rPr>
        <w:t>7</w:t>
      </w:r>
      <w:r w:rsidRPr="00287C37">
        <w:rPr>
          <w:rFonts w:ascii="Calibri" w:hAnsi="Calibri" w:cs="Calibri"/>
          <w:sz w:val="16"/>
        </w:rPr>
        <w:t>, e40391, doi:10.1371/journal.pone.0040391.</w:t>
      </w:r>
    </w:p>
    <w:p w:rsidR="007518DA" w:rsidRPr="007518DA" w:rsidRDefault="00FE09A5" w:rsidP="007518DA">
      <w:pPr>
        <w:ind w:firstLine="708"/>
      </w:pPr>
      <w:r w:rsidRPr="00287C37">
        <w:rPr>
          <w:sz w:val="16"/>
        </w:rPr>
        <w:fldChar w:fldCharType="end"/>
      </w:r>
    </w:p>
    <w:sectPr w:rsidR="007518DA" w:rsidRPr="007518DA" w:rsidSect="00EB2F2C">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F98" w:rsidRDefault="00F32F98" w:rsidP="00287C37">
      <w:pPr>
        <w:spacing w:after="0" w:line="240" w:lineRule="auto"/>
      </w:pPr>
      <w:r>
        <w:separator/>
      </w:r>
    </w:p>
  </w:endnote>
  <w:endnote w:type="continuationSeparator" w:id="0">
    <w:p w:rsidR="00F32F98" w:rsidRDefault="00F32F98" w:rsidP="00287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87743"/>
      <w:docPartObj>
        <w:docPartGallery w:val="Page Numbers (Bottom of Page)"/>
        <w:docPartUnique/>
      </w:docPartObj>
    </w:sdtPr>
    <w:sdtEndPr/>
    <w:sdtContent>
      <w:p w:rsidR="00287C37" w:rsidRDefault="00287C37">
        <w:pPr>
          <w:pStyle w:val="Stopka"/>
          <w:jc w:val="center"/>
        </w:pPr>
        <w:r>
          <w:fldChar w:fldCharType="begin"/>
        </w:r>
        <w:r>
          <w:instrText>PAGE   \* MERGEFORMAT</w:instrText>
        </w:r>
        <w:r>
          <w:fldChar w:fldCharType="separate"/>
        </w:r>
        <w:r w:rsidR="00A23E87">
          <w:rPr>
            <w:noProof/>
          </w:rPr>
          <w:t>2</w:t>
        </w:r>
        <w:r>
          <w:fldChar w:fldCharType="end"/>
        </w:r>
      </w:p>
    </w:sdtContent>
  </w:sdt>
  <w:p w:rsidR="00287C37" w:rsidRDefault="00287C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F98" w:rsidRDefault="00F32F98" w:rsidP="00287C37">
      <w:pPr>
        <w:spacing w:after="0" w:line="240" w:lineRule="auto"/>
      </w:pPr>
      <w:r>
        <w:separator/>
      </w:r>
    </w:p>
  </w:footnote>
  <w:footnote w:type="continuationSeparator" w:id="0">
    <w:p w:rsidR="00F32F98" w:rsidRDefault="00F32F98" w:rsidP="00287C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218"/>
    <w:rsid w:val="000C6098"/>
    <w:rsid w:val="000C70D5"/>
    <w:rsid w:val="000F5A18"/>
    <w:rsid w:val="001A462B"/>
    <w:rsid w:val="001D7A18"/>
    <w:rsid w:val="00272E16"/>
    <w:rsid w:val="00287C37"/>
    <w:rsid w:val="003006E1"/>
    <w:rsid w:val="004060D9"/>
    <w:rsid w:val="004573A7"/>
    <w:rsid w:val="004718F7"/>
    <w:rsid w:val="004B43F2"/>
    <w:rsid w:val="005F04E0"/>
    <w:rsid w:val="00656BB9"/>
    <w:rsid w:val="006D75F7"/>
    <w:rsid w:val="007518DA"/>
    <w:rsid w:val="007C0734"/>
    <w:rsid w:val="00886BBB"/>
    <w:rsid w:val="00A0693E"/>
    <w:rsid w:val="00A23E87"/>
    <w:rsid w:val="00AD0637"/>
    <w:rsid w:val="00AD5AC3"/>
    <w:rsid w:val="00B823D6"/>
    <w:rsid w:val="00C42B67"/>
    <w:rsid w:val="00D02539"/>
    <w:rsid w:val="00D06134"/>
    <w:rsid w:val="00EB2F2C"/>
    <w:rsid w:val="00F03218"/>
    <w:rsid w:val="00F32F98"/>
    <w:rsid w:val="00F37CF4"/>
    <w:rsid w:val="00FE09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2D293"/>
  <w15:chartTrackingRefBased/>
  <w15:docId w15:val="{5C50922B-3EBC-45A6-ACB3-4A0647B2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Cytatintensywny">
    <w:name w:val="Intense Quote"/>
    <w:basedOn w:val="Normalny"/>
    <w:next w:val="Normalny"/>
    <w:link w:val="CytatintensywnyZnak"/>
    <w:uiPriority w:val="30"/>
    <w:qFormat/>
    <w:rsid w:val="00EB2F2C"/>
    <w:pPr>
      <w:framePr w:wrap="notBeside" w:vAnchor="text" w:hAnchor="text" w:y="1"/>
      <w:pBdr>
        <w:top w:val="single" w:sz="4" w:space="10" w:color="C45911" w:themeColor="accent2" w:themeShade="BF"/>
        <w:bottom w:val="single" w:sz="4" w:space="10" w:color="C45911" w:themeColor="accent2" w:themeShade="BF"/>
      </w:pBdr>
      <w:spacing w:before="360" w:after="360"/>
      <w:ind w:left="864" w:right="864"/>
      <w:jc w:val="center"/>
    </w:pPr>
    <w:rPr>
      <w:i/>
      <w:iCs/>
      <w:color w:val="C45911" w:themeColor="accent2" w:themeShade="BF"/>
    </w:rPr>
  </w:style>
  <w:style w:type="character" w:customStyle="1" w:styleId="CytatintensywnyZnak">
    <w:name w:val="Cytat intensywny Znak"/>
    <w:basedOn w:val="Domylnaczcionkaakapitu"/>
    <w:link w:val="Cytatintensywny"/>
    <w:uiPriority w:val="30"/>
    <w:rsid w:val="00EB2F2C"/>
    <w:rPr>
      <w:i/>
      <w:iCs/>
      <w:color w:val="C45911" w:themeColor="accent2" w:themeShade="BF"/>
    </w:rPr>
  </w:style>
  <w:style w:type="paragraph" w:customStyle="1" w:styleId="Default">
    <w:name w:val="Default"/>
    <w:rsid w:val="00F37CF4"/>
    <w:pPr>
      <w:autoSpaceDE w:val="0"/>
      <w:autoSpaceDN w:val="0"/>
      <w:adjustRightInd w:val="0"/>
      <w:spacing w:after="0" w:line="240" w:lineRule="auto"/>
    </w:pPr>
    <w:rPr>
      <w:rFonts w:ascii="Times New Roman" w:hAnsi="Times New Roman" w:cs="Times New Roman"/>
      <w:color w:val="000000"/>
      <w:sz w:val="24"/>
      <w:szCs w:val="24"/>
    </w:rPr>
  </w:style>
  <w:style w:type="paragraph" w:styleId="Bibliografia">
    <w:name w:val="Bibliography"/>
    <w:basedOn w:val="Normalny"/>
    <w:next w:val="Normalny"/>
    <w:uiPriority w:val="37"/>
    <w:unhideWhenUsed/>
    <w:rsid w:val="00FE09A5"/>
    <w:pPr>
      <w:tabs>
        <w:tab w:val="left" w:pos="384"/>
      </w:tabs>
      <w:spacing w:after="0" w:line="240" w:lineRule="auto"/>
      <w:ind w:left="384" w:hanging="384"/>
    </w:pPr>
  </w:style>
  <w:style w:type="paragraph" w:styleId="Nagwek">
    <w:name w:val="header"/>
    <w:basedOn w:val="Normalny"/>
    <w:link w:val="NagwekZnak"/>
    <w:uiPriority w:val="99"/>
    <w:unhideWhenUsed/>
    <w:rsid w:val="00287C3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7C37"/>
  </w:style>
  <w:style w:type="paragraph" w:styleId="Stopka">
    <w:name w:val="footer"/>
    <w:basedOn w:val="Normalny"/>
    <w:link w:val="StopkaZnak"/>
    <w:uiPriority w:val="99"/>
    <w:unhideWhenUsed/>
    <w:rsid w:val="00287C3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7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0EE07-79AF-43C0-A75D-249871C74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4570</Words>
  <Characters>27425</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Razim</dc:creator>
  <cp:keywords/>
  <dc:description/>
  <cp:lastModifiedBy>Agnieszka Razim</cp:lastModifiedBy>
  <cp:revision>5</cp:revision>
  <dcterms:created xsi:type="dcterms:W3CDTF">2020-09-18T14:01:00Z</dcterms:created>
  <dcterms:modified xsi:type="dcterms:W3CDTF">2022-02-28T19:41:00Z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id="Pz0KcPNa"/&gt;&lt;style id="http://www.zotero.org/styles/microorganisms" hasBibliography="1" bibliographyStyleHasBeenSet="1"/&gt;&lt;prefs&gt;&lt;pref name="fieldType" value="Field"/&gt;&lt;/prefs&gt;&lt;/data&gt;</vt:lpwstr>
  </property>
</Properties>
</file>